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50"/>
        <w:gridCol w:w="4821"/>
      </w:tblGrid>
      <w:tr w:rsidR="00A01C69" w:rsidRPr="00496BAD" w:rsidTr="00393AC1">
        <w:tc>
          <w:tcPr>
            <w:tcW w:w="4926" w:type="dxa"/>
            <w:shd w:val="clear" w:color="auto" w:fill="auto"/>
          </w:tcPr>
          <w:p w:rsidR="00A01C69" w:rsidRPr="00496BAD" w:rsidRDefault="00A01C69" w:rsidP="00393AC1"/>
        </w:tc>
        <w:tc>
          <w:tcPr>
            <w:tcW w:w="4927" w:type="dxa"/>
            <w:shd w:val="clear" w:color="auto" w:fill="auto"/>
          </w:tcPr>
          <w:p w:rsidR="001E0BDF" w:rsidRPr="00062A88" w:rsidRDefault="001E0BDF" w:rsidP="001E0BDF">
            <w:pPr>
              <w:jc w:val="right"/>
            </w:pPr>
            <w:r w:rsidRPr="00062A88">
              <w:t>Приложение №</w:t>
            </w:r>
            <w:r w:rsidR="007554DC">
              <w:t xml:space="preserve"> 2</w:t>
            </w:r>
            <w:bookmarkStart w:id="0" w:name="_GoBack"/>
            <w:bookmarkEnd w:id="0"/>
            <w:r w:rsidR="004879F1">
              <w:t xml:space="preserve"> </w:t>
            </w:r>
          </w:p>
          <w:p w:rsidR="001E0BDF" w:rsidRPr="00062A88" w:rsidRDefault="001E0BDF" w:rsidP="001E0BDF">
            <w:pPr>
              <w:jc w:val="right"/>
            </w:pPr>
            <w:r w:rsidRPr="00062A88">
              <w:t>к Постановлению местной администрации</w:t>
            </w:r>
            <w:r>
              <w:t xml:space="preserve"> </w:t>
            </w:r>
            <w:proofErr w:type="gramStart"/>
            <w:r>
              <w:t>внутригородского</w:t>
            </w:r>
            <w:proofErr w:type="gramEnd"/>
            <w:r>
              <w:t xml:space="preserve"> </w:t>
            </w:r>
            <w:r w:rsidRPr="00062A88">
              <w:t xml:space="preserve"> </w:t>
            </w:r>
          </w:p>
          <w:p w:rsidR="001E0BDF" w:rsidRDefault="001E0BDF" w:rsidP="001E0BDF">
            <w:pPr>
              <w:jc w:val="right"/>
            </w:pPr>
            <w:r w:rsidRPr="00062A88">
              <w:t>муниципального образования</w:t>
            </w:r>
            <w:r>
              <w:t xml:space="preserve"> </w:t>
            </w:r>
          </w:p>
          <w:p w:rsidR="001E0BDF" w:rsidRPr="00062A88" w:rsidRDefault="001E0BDF" w:rsidP="001E0BDF">
            <w:pPr>
              <w:jc w:val="right"/>
            </w:pPr>
            <w:r>
              <w:t>города федерального значения Санкт-Петербурга</w:t>
            </w:r>
            <w:r w:rsidRPr="00062A88">
              <w:t xml:space="preserve"> </w:t>
            </w:r>
            <w:r>
              <w:t xml:space="preserve">поселок Стрельна </w:t>
            </w:r>
          </w:p>
          <w:p w:rsidR="00A01C69" w:rsidRPr="0085199E" w:rsidRDefault="001E0BDF" w:rsidP="00CC425B">
            <w:pPr>
              <w:jc w:val="right"/>
            </w:pPr>
            <w:r w:rsidRPr="00062A88">
              <w:t>от</w:t>
            </w:r>
            <w:r>
              <w:t xml:space="preserve"> </w:t>
            </w:r>
            <w:r w:rsidRPr="00EA0E71">
              <w:t>17.10.2022 № 144/1</w:t>
            </w:r>
            <w:r>
              <w:t>(с изменениями от 28.02.2023 № 19, от  15.03.2023 №24</w:t>
            </w:r>
            <w:r w:rsidR="004879F1">
              <w:t>, от 19.07.2023 №92</w:t>
            </w:r>
            <w:r w:rsidR="00CF1B6B">
              <w:t>, от 16.08.2023 №</w:t>
            </w:r>
            <w:r w:rsidR="00CC425B">
              <w:t>99</w:t>
            </w:r>
            <w:r w:rsidR="00E635EF">
              <w:t>, от 29.11.2023 №145</w:t>
            </w:r>
            <w:r>
              <w:t>)</w:t>
            </w:r>
            <w:r w:rsidR="00CF1B6B">
              <w:t xml:space="preserve"> </w:t>
            </w:r>
          </w:p>
        </w:tc>
      </w:tr>
    </w:tbl>
    <w:p w:rsidR="00A01C69" w:rsidRPr="00F41833" w:rsidRDefault="00A01C69" w:rsidP="00A01C69">
      <w:pPr>
        <w:ind w:left="6237"/>
      </w:pPr>
    </w:p>
    <w:p w:rsidR="00A01C69" w:rsidRPr="00F41833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jc w:val="center"/>
      </w:pPr>
    </w:p>
    <w:p w:rsidR="00A01C69" w:rsidRPr="00F41833" w:rsidRDefault="00A01C69" w:rsidP="00A01C69">
      <w:pPr>
        <w:ind w:left="6237"/>
      </w:pPr>
    </w:p>
    <w:p w:rsidR="00A01C69" w:rsidRPr="00F41833" w:rsidRDefault="00A01C69" w:rsidP="00A01C69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:rsidR="00A01C69" w:rsidRPr="00A01C69" w:rsidRDefault="00A01C69" w:rsidP="00A01C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475D">
        <w:rPr>
          <w:b/>
          <w:sz w:val="32"/>
          <w:szCs w:val="32"/>
        </w:rPr>
        <w:t xml:space="preserve"> </w:t>
      </w:r>
      <w:r w:rsidRPr="00A01C69">
        <w:rPr>
          <w:b/>
          <w:sz w:val="28"/>
          <w:szCs w:val="28"/>
          <w:lang w:eastAsia="ru-RU"/>
        </w:rPr>
        <w:t>«</w:t>
      </w:r>
      <w:r w:rsidRPr="00A01C69">
        <w:rPr>
          <w:b/>
          <w:bCs/>
          <w:sz w:val="28"/>
          <w:szCs w:val="28"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A01C69">
        <w:rPr>
          <w:b/>
          <w:sz w:val="28"/>
          <w:szCs w:val="28"/>
        </w:rPr>
        <w:t>»</w:t>
      </w:r>
    </w:p>
    <w:p w:rsidR="00A01C69" w:rsidRPr="00F41833" w:rsidRDefault="00A01C69" w:rsidP="00A01C6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2023-2025 года.</w:t>
      </w: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:rsidR="00A01C69" w:rsidRDefault="00A01C69" w:rsidP="00A01C69">
      <w:pPr>
        <w:spacing w:line="360" w:lineRule="auto"/>
        <w:jc w:val="center"/>
        <w:rPr>
          <w:sz w:val="22"/>
        </w:rPr>
      </w:pPr>
      <w:r>
        <w:rPr>
          <w:sz w:val="22"/>
        </w:rPr>
        <w:t>2022 г.</w:t>
      </w:r>
    </w:p>
    <w:p w:rsidR="00A01C69" w:rsidRPr="003529A8" w:rsidRDefault="00A01C69" w:rsidP="00A01C69">
      <w:pPr>
        <w:spacing w:line="360" w:lineRule="auto"/>
        <w:jc w:val="center"/>
        <w:rPr>
          <w:b/>
        </w:rPr>
      </w:pPr>
      <w:r>
        <w:rPr>
          <w:sz w:val="22"/>
        </w:rPr>
        <w:br w:type="page"/>
      </w:r>
      <w:r w:rsidRPr="003529A8">
        <w:rPr>
          <w:b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7167"/>
      </w:tblGrid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Наименование Программы</w:t>
            </w:r>
          </w:p>
        </w:tc>
        <w:tc>
          <w:tcPr>
            <w:tcW w:w="7167" w:type="dxa"/>
          </w:tcPr>
          <w:p w:rsidR="00A01C69" w:rsidRPr="00F41833" w:rsidRDefault="00A01C69" w:rsidP="00393AC1">
            <w:pPr>
              <w:shd w:val="clear" w:color="auto" w:fill="FFFFFF"/>
              <w:jc w:val="both"/>
            </w:pPr>
            <w:r>
              <w:t xml:space="preserve">Муниципальная программа </w:t>
            </w:r>
            <w:r w:rsidRPr="00BE475D">
              <w:t>«</w:t>
            </w:r>
            <w:r w:rsidRPr="0050226D">
              <w:t>Благоустройство территории внутригородского муниципального образования города федерального значения Санкт-Петербурга поселок Стрельна</w:t>
            </w:r>
            <w:r w:rsidRPr="00BE475D">
              <w:t>» на 2023-2025 г</w:t>
            </w:r>
            <w:r>
              <w:t>ода</w:t>
            </w:r>
            <w:proofErr w:type="gramStart"/>
            <w:r w:rsidRPr="00BE475D">
              <w:t>.</w:t>
            </w:r>
            <w:proofErr w:type="gramEnd"/>
            <w:r w:rsidRPr="00BE475D">
              <w:t xml:space="preserve"> </w:t>
            </w:r>
            <w:r w:rsidRPr="00F41833">
              <w:t>(</w:t>
            </w:r>
            <w:proofErr w:type="gramStart"/>
            <w:r w:rsidRPr="00F41833">
              <w:t>д</w:t>
            </w:r>
            <w:proofErr w:type="gramEnd"/>
            <w:r w:rsidRPr="00F41833">
              <w:t>алее - Программа)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Основания для разработки Программы</w:t>
            </w:r>
          </w:p>
        </w:tc>
        <w:tc>
          <w:tcPr>
            <w:tcW w:w="7167" w:type="dxa"/>
          </w:tcPr>
          <w:p w:rsidR="00A01C69" w:rsidRPr="005536AB" w:rsidRDefault="00A01C69" w:rsidP="00393AC1">
            <w:pPr>
              <w:jc w:val="both"/>
            </w:pPr>
            <w:r w:rsidRPr="005536AB">
              <w:t xml:space="preserve">- </w:t>
            </w:r>
            <w:r w:rsidR="005536AB" w:rsidRPr="005536AB">
              <w:t>п.4</w:t>
            </w:r>
            <w:r w:rsidRPr="005536AB">
              <w:t xml:space="preserve"> ст. 10 Закона Санкт-Петербурга от 23 сентября 2009 года № 420-79 «Об организации местного самоуправления в Санкт-Петербурге»</w:t>
            </w:r>
          </w:p>
          <w:p w:rsidR="00A01C69" w:rsidRPr="00BE475D" w:rsidRDefault="00A01C69" w:rsidP="00393AC1">
            <w:pPr>
              <w:jc w:val="both"/>
              <w:rPr>
                <w:color w:val="FF0000"/>
              </w:rPr>
            </w:pPr>
            <w:r w:rsidRPr="005536AB">
              <w:t>- 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Участники </w:t>
            </w:r>
            <w:r>
              <w:rPr>
                <w:b/>
              </w:rPr>
              <w:t xml:space="preserve">муниципальной </w:t>
            </w:r>
            <w:r w:rsidRPr="00C66992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A01C69" w:rsidP="00393AC1">
            <w:pPr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rPr>
          <w:trHeight w:val="852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>
              <w:rPr>
                <w:b/>
              </w:rPr>
              <w:t xml:space="preserve">Разработчик </w:t>
            </w:r>
            <w:r w:rsidRPr="00F41833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A01C69" w:rsidP="00393AC1">
            <w:pPr>
              <w:tabs>
                <w:tab w:val="left" w:pos="32"/>
              </w:tabs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rPr>
          <w:trHeight w:val="250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Реквизиты документа, которым утверждена </w:t>
            </w:r>
            <w:r>
              <w:rPr>
                <w:b/>
              </w:rPr>
              <w:t>муниципальная</w:t>
            </w:r>
            <w:r w:rsidRPr="00C66992">
              <w:rPr>
                <w:b/>
              </w:rPr>
              <w:t xml:space="preserve"> программа</w:t>
            </w:r>
          </w:p>
        </w:tc>
        <w:tc>
          <w:tcPr>
            <w:tcW w:w="7167" w:type="dxa"/>
            <w:vAlign w:val="center"/>
          </w:tcPr>
          <w:p w:rsidR="00A01C69" w:rsidRDefault="00A01C69" w:rsidP="00393AC1">
            <w:pPr>
              <w:jc w:val="both"/>
            </w:pPr>
            <w:r w:rsidRPr="00C66992">
              <w:t xml:space="preserve">Постановление </w:t>
            </w:r>
            <w:r>
              <w:t>м</w:t>
            </w:r>
            <w:r w:rsidRPr="00C66992">
              <w:t xml:space="preserve">естной </w:t>
            </w:r>
            <w:proofErr w:type="gramStart"/>
            <w:r w:rsidRPr="00C66992">
              <w:t>администрации</w:t>
            </w:r>
            <w:r>
              <w:t xml:space="preserve"> внутригородского муниципального образования города федерального значения Санкт-Петербурга</w:t>
            </w:r>
            <w:proofErr w:type="gramEnd"/>
            <w:r w:rsidRPr="00C66992">
              <w:t xml:space="preserve"> поселок Стрельна от </w:t>
            </w:r>
            <w:r>
              <w:t>____________________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Основные цели Программы</w:t>
            </w:r>
            <w:r>
              <w:rPr>
                <w:b/>
              </w:rPr>
              <w:t xml:space="preserve"> и их значения </w:t>
            </w:r>
          </w:p>
        </w:tc>
        <w:tc>
          <w:tcPr>
            <w:tcW w:w="7167" w:type="dxa"/>
          </w:tcPr>
          <w:p w:rsidR="00A01C69" w:rsidRPr="00F9719D" w:rsidRDefault="00A01C69" w:rsidP="00A01C69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9719D">
              <w:rPr>
                <w:bCs/>
                <w:lang w:eastAsia="ru-RU"/>
              </w:rPr>
              <w:t xml:space="preserve">Поддержание транспортно-эксплуатационного состояния автомобильных дорог, отвечающего требованиям нормативно-технической документации, обеспечение безопасности движения транспорта и пешеходов, снижение аварийности, </w:t>
            </w:r>
            <w:r w:rsidRPr="005C480E">
              <w:rPr>
                <w:lang w:eastAsia="ru-RU"/>
              </w:rPr>
              <w:t>предотвращени</w:t>
            </w:r>
            <w:r>
              <w:rPr>
                <w:lang w:eastAsia="ru-RU"/>
              </w:rPr>
              <w:t>е</w:t>
            </w:r>
            <w:r w:rsidRPr="005C480E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.</w:t>
            </w:r>
          </w:p>
          <w:p w:rsidR="00A01C69" w:rsidRPr="00466B6B" w:rsidRDefault="00A01C69" w:rsidP="00393AC1"/>
          <w:p w:rsidR="00A01C69" w:rsidRPr="00466B6B" w:rsidRDefault="00A01C69" w:rsidP="00393AC1">
            <w:r w:rsidRPr="00466B6B">
              <w:t xml:space="preserve">Целевые индикаторы: в соответствии с приложением 1 к </w:t>
            </w:r>
            <w:r>
              <w:t>муниципальной программе</w:t>
            </w:r>
            <w:r w:rsidRPr="00466B6B">
              <w:t>.</w:t>
            </w:r>
          </w:p>
          <w:p w:rsidR="00A01C69" w:rsidRPr="00CD46E8" w:rsidRDefault="00A01C69" w:rsidP="00393AC1">
            <w:pPr>
              <w:rPr>
                <w:rFonts w:ascii="Tahoma" w:hAnsi="Tahoma" w:cs="Tahoma"/>
                <w:color w:val="000000"/>
              </w:rPr>
            </w:pP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167" w:type="dxa"/>
          </w:tcPr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выполнение работ по осуществлению текущего ремонта и содержания дорог, расположенных в пределах границ Внутригородского муниципального образования Санкт-Петербурга поселок Стрельна (далее – Муниципальное образование поселок Стрельна), текущий ремонт и содержание которых осуществляют органы местного самоуправления.</w:t>
            </w:r>
          </w:p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подготовка документов для открытия ордеров ГАТИ на производство работ</w:t>
            </w:r>
          </w:p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осуществление технического надзора за выполнением работ по текущему ремонту дорог</w:t>
            </w:r>
          </w:p>
          <w:p w:rsidR="00A01C69" w:rsidRPr="00466B6B" w:rsidRDefault="00A01C69" w:rsidP="00A01C69">
            <w:pPr>
              <w:jc w:val="both"/>
            </w:pPr>
            <w:r>
              <w:rPr>
                <w:lang w:eastAsia="ru-RU"/>
              </w:rPr>
              <w:t>- уборка и содержание дорог</w:t>
            </w:r>
            <w:r w:rsidRPr="00466B6B">
              <w:t xml:space="preserve"> </w:t>
            </w:r>
          </w:p>
        </w:tc>
      </w:tr>
      <w:tr w:rsidR="00A01C69" w:rsidRPr="00F41833" w:rsidTr="00393AC1">
        <w:trPr>
          <w:trHeight w:val="40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О</w:t>
            </w:r>
            <w:r w:rsidRPr="00CD46E8">
              <w:rPr>
                <w:b/>
                <w:color w:val="000000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167" w:type="dxa"/>
            <w:vAlign w:val="center"/>
          </w:tcPr>
          <w:p w:rsidR="00A01C69" w:rsidRDefault="00A01C69" w:rsidP="00A01C69">
            <w:pPr>
              <w:rPr>
                <w:lang w:eastAsia="ru-RU"/>
              </w:rPr>
            </w:pPr>
            <w:r>
              <w:rPr>
                <w:lang w:eastAsia="ru-RU"/>
              </w:rPr>
              <w:t>- улучшение качества дорог, повышение</w:t>
            </w:r>
            <w:r w:rsidRPr="001A79F6">
              <w:rPr>
                <w:lang w:eastAsia="ru-RU"/>
              </w:rPr>
              <w:t xml:space="preserve"> безопасности движения пешеходов и транспорта, предотвращени</w:t>
            </w:r>
            <w:r>
              <w:rPr>
                <w:lang w:eastAsia="ru-RU"/>
              </w:rPr>
              <w:t>е</w:t>
            </w:r>
            <w:r w:rsidRPr="001A79F6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;</w:t>
            </w:r>
          </w:p>
          <w:p w:rsidR="00A01C69" w:rsidRDefault="00A01C69" w:rsidP="00A01C69">
            <w:r w:rsidRPr="001A79F6">
              <w:rPr>
                <w:lang w:eastAsia="ru-RU"/>
              </w:rPr>
              <w:t xml:space="preserve"> - уборка и содержание дорожного покрытия</w:t>
            </w:r>
          </w:p>
        </w:tc>
      </w:tr>
      <w:tr w:rsidR="00A01C69" w:rsidRPr="00F41833" w:rsidTr="00393AC1">
        <w:trPr>
          <w:trHeight w:val="68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Срок реализации Программы</w:t>
            </w:r>
          </w:p>
        </w:tc>
        <w:tc>
          <w:tcPr>
            <w:tcW w:w="7167" w:type="dxa"/>
            <w:vAlign w:val="center"/>
          </w:tcPr>
          <w:p w:rsidR="00A01C69" w:rsidRDefault="00A01C69" w:rsidP="00393AC1">
            <w:pPr>
              <w:widowControl w:val="0"/>
              <w:tabs>
                <w:tab w:val="left" w:pos="317"/>
              </w:tabs>
            </w:pPr>
            <w:r>
              <w:t>20</w:t>
            </w:r>
            <w:r>
              <w:rPr>
                <w:lang w:val="en-US"/>
              </w:rPr>
              <w:t>2</w:t>
            </w:r>
            <w:r>
              <w:t>3-20</w:t>
            </w:r>
            <w:r>
              <w:rPr>
                <w:lang w:val="en-US"/>
              </w:rPr>
              <w:t>2</w:t>
            </w:r>
            <w:r>
              <w:t>5 годы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CD46E8">
              <w:rPr>
                <w:b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:rsidR="00A01C69" w:rsidRPr="00092E05" w:rsidRDefault="00A01C69" w:rsidP="00393AC1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Источник финансирования – бюджет местной </w:t>
            </w:r>
            <w:proofErr w:type="gramStart"/>
            <w:r w:rsidRPr="00092E05">
              <w:t>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Pr="00092E05">
              <w:t xml:space="preserve"> поселок Стрельна на 2023-2025 гг.</w:t>
            </w:r>
          </w:p>
          <w:p w:rsidR="00A01C69" w:rsidRPr="00092E05" w:rsidRDefault="00A01C69" w:rsidP="0045544A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Целевая статья – </w:t>
            </w:r>
            <w:r w:rsidR="0045544A">
              <w:t>3150000111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Объем финансирования (тыс., руб.)</w:t>
            </w:r>
          </w:p>
        </w:tc>
        <w:tc>
          <w:tcPr>
            <w:tcW w:w="7167" w:type="dxa"/>
          </w:tcPr>
          <w:p w:rsidR="00A01C69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</w:t>
            </w:r>
            <w:r w:rsidRPr="0045054C">
              <w:rPr>
                <w:b/>
              </w:rPr>
              <w:t>3</w:t>
            </w:r>
            <w:r>
              <w:rPr>
                <w:b/>
              </w:rPr>
              <w:t xml:space="preserve"> году – </w:t>
            </w:r>
            <w:r w:rsidR="00981383">
              <w:rPr>
                <w:b/>
              </w:rPr>
              <w:t>146</w:t>
            </w:r>
            <w:r w:rsidR="009B139F">
              <w:rPr>
                <w:b/>
              </w:rPr>
              <w:t>46</w:t>
            </w:r>
            <w:r w:rsidR="00052099">
              <w:rPr>
                <w:b/>
              </w:rPr>
              <w:t>,9</w:t>
            </w:r>
          </w:p>
          <w:p w:rsidR="00A01C69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2024 году – 17</w:t>
            </w:r>
            <w:r w:rsidR="00052099">
              <w:rPr>
                <w:b/>
              </w:rPr>
              <w:t>575,0</w:t>
            </w:r>
          </w:p>
          <w:p w:rsidR="00A01C69" w:rsidRPr="00835F92" w:rsidRDefault="00A01C69" w:rsidP="00052099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2025 году – 1</w:t>
            </w:r>
            <w:r w:rsidR="00052099">
              <w:rPr>
                <w:b/>
              </w:rPr>
              <w:t>8526</w:t>
            </w:r>
            <w:r>
              <w:rPr>
                <w:b/>
              </w:rPr>
              <w:t>,</w:t>
            </w:r>
            <w:r w:rsidR="00052099">
              <w:rPr>
                <w:b/>
              </w:rPr>
              <w:t>1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t>С</w:t>
            </w:r>
            <w:r w:rsidRPr="002D6B64">
              <w:rPr>
                <w:b/>
              </w:rPr>
              <w:t xml:space="preserve">истемы управления реализацией </w:t>
            </w:r>
            <w:r>
              <w:rPr>
                <w:b/>
              </w:rPr>
              <w:t xml:space="preserve">муниципальной </w:t>
            </w:r>
            <w:r w:rsidRPr="002D6B64">
              <w:rPr>
                <w:b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:rsidR="00A01C69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 w:rsidRPr="002D6B64">
              <w:t xml:space="preserve">Механизм реализации </w:t>
            </w:r>
            <w:r>
              <w:t>муниципальной</w:t>
            </w:r>
            <w:r w:rsidRPr="002D6B64"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spacing w:val="2"/>
                <w:shd w:val="clear" w:color="auto" w:fill="FFFFFF"/>
              </w:rPr>
              <w:t xml:space="preserve">Управление реализацией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осуществляет руководитель </w:t>
            </w:r>
            <w:r>
              <w:rPr>
                <w:spacing w:val="2"/>
                <w:shd w:val="clear" w:color="auto" w:fill="FFFFFF"/>
              </w:rPr>
              <w:t>м</w:t>
            </w:r>
            <w:r w:rsidRPr="002D6B64">
              <w:rPr>
                <w:spacing w:val="2"/>
                <w:shd w:val="clear" w:color="auto" w:fill="FFFFFF"/>
              </w:rPr>
              <w:t xml:space="preserve">естной </w:t>
            </w:r>
            <w:proofErr w:type="gramStart"/>
            <w:r w:rsidRPr="002D6B64">
              <w:rPr>
                <w:spacing w:val="2"/>
                <w:shd w:val="clear" w:color="auto" w:fill="FFFFFF"/>
              </w:rPr>
              <w:t>администрации</w:t>
            </w:r>
            <w:r>
              <w:rPr>
                <w:spacing w:val="2"/>
                <w:shd w:val="clear" w:color="auto" w:fill="FFFFFF"/>
              </w:rPr>
              <w:t xml:space="preserve"> внутригородского м</w:t>
            </w:r>
            <w:r w:rsidRPr="002D6B64">
              <w:rPr>
                <w:spacing w:val="2"/>
                <w:shd w:val="clear" w:color="auto" w:fill="FFFFFF"/>
              </w:rPr>
              <w:t>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города федерального значения Санкт-Петербурга</w:t>
            </w:r>
            <w:proofErr w:type="gramEnd"/>
            <w:r>
              <w:rPr>
                <w:spacing w:val="2"/>
                <w:shd w:val="clear" w:color="auto" w:fill="FFFFFF"/>
              </w:rPr>
              <w:t xml:space="preserve"> </w:t>
            </w:r>
            <w:r w:rsidRPr="002D6B64">
              <w:rPr>
                <w:spacing w:val="2"/>
                <w:shd w:val="clear" w:color="auto" w:fill="FFFFFF"/>
              </w:rPr>
              <w:t xml:space="preserve">поселок Стрельна. Ответственным за реализацию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«Стрельна».</w:t>
            </w:r>
          </w:p>
        </w:tc>
      </w:tr>
    </w:tbl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A01C69" w:rsidRPr="00AE4AE2" w:rsidRDefault="00A01C69" w:rsidP="00A01C69">
      <w:pPr>
        <w:jc w:val="center"/>
        <w:rPr>
          <w:b/>
        </w:rPr>
      </w:pPr>
      <w:r w:rsidRPr="00AE4AE2">
        <w:rPr>
          <w:b/>
        </w:rPr>
        <w:lastRenderedPageBreak/>
        <w:t>ПОЯСНИТЕЛЬНАЯ ЗАПИСКА</w:t>
      </w:r>
    </w:p>
    <w:p w:rsidR="00A01C69" w:rsidRPr="00626DEB" w:rsidRDefault="00A01C69" w:rsidP="00A01C69">
      <w:pPr>
        <w:jc w:val="center"/>
      </w:pPr>
    </w:p>
    <w:p w:rsidR="00A01C69" w:rsidRPr="000A125C" w:rsidRDefault="00A01C69" w:rsidP="00A01C69">
      <w:pPr>
        <w:pStyle w:val="a9"/>
        <w:numPr>
          <w:ilvl w:val="0"/>
          <w:numId w:val="2"/>
        </w:numPr>
        <w:ind w:left="0" w:firstLine="0"/>
        <w:jc w:val="center"/>
        <w:rPr>
          <w:rFonts w:eastAsia="Times New Roman"/>
          <w:b/>
          <w:lang w:eastAsia="ru-RU"/>
        </w:rPr>
      </w:pPr>
      <w:r w:rsidRPr="00425F07">
        <w:rPr>
          <w:b/>
          <w:lang w:eastAsia="ru-RU"/>
        </w:rPr>
        <w:t xml:space="preserve">Обоснование необходимости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</w:t>
      </w:r>
    </w:p>
    <w:p w:rsidR="00052099" w:rsidRDefault="00052099" w:rsidP="0005209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В соответствии с пунктом 4 части 4 статьи 10 Закона Санкт-Петербурга от 23.09.2009 № 420-79 «Об организации местного самоуправления в Санкт-Петербурге» к полномочиям органов местного самоуправления Муниципального образования поселок Стрельна относится выполнение работ по текущему ремонту и содержанию дорог, расположенных в пределах границ муниципального образования, в соответствии с перечнем, утвержденным Правительством Санкт-Петербурга. </w:t>
      </w:r>
      <w:proofErr w:type="gramEnd"/>
    </w:p>
    <w:p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>В соответствии с Постановлением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 в пределах границ Муниципального образования поселок Стрельна находится 42 дороги общей протяженностью 11091,38 метров, площадь проезжей части и тротуаров составляет 57</w:t>
      </w:r>
      <w:r w:rsidR="00BA5E4F">
        <w:rPr>
          <w:lang w:eastAsia="ru-RU"/>
        </w:rPr>
        <w:t>612</w:t>
      </w:r>
      <w:r>
        <w:rPr>
          <w:lang w:eastAsia="ru-RU"/>
        </w:rPr>
        <w:t xml:space="preserve"> кв</w:t>
      </w:r>
      <w:proofErr w:type="gramStart"/>
      <w:r>
        <w:rPr>
          <w:lang w:eastAsia="ru-RU"/>
        </w:rPr>
        <w:t>.м</w:t>
      </w:r>
      <w:proofErr w:type="gramEnd"/>
      <w:r>
        <w:rPr>
          <w:lang w:eastAsia="ru-RU"/>
        </w:rPr>
        <w:t>, площадь полосы отвода – 41412 кв.м.</w:t>
      </w:r>
    </w:p>
    <w:p w:rsidR="00052099" w:rsidRDefault="00052099" w:rsidP="00052099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результате выполнения работ по текущему ремонту поддерживается транспортно-эксплуатационное состояние автомобильных дорог, отвечающее требованиям нормативно-технической документации, а также обеспечивается безопасность движения транспорта и пешеходов, снижается аварийность, улучшается эстетическое восприятие.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 xml:space="preserve">Сохранность существующих дорог во многом зависит и от нормативного круглогодичного содержания, что включает в себя комплекс мероприятий по предупреждению преждевременного разрушения и износа конструктивных </w:t>
      </w:r>
      <w:proofErr w:type="gramStart"/>
      <w:r w:rsidRPr="00214127">
        <w:rPr>
          <w:spacing w:val="2"/>
          <w:shd w:val="clear" w:color="auto" w:fill="FFFFFF"/>
        </w:rPr>
        <w:t>элементов</w:t>
      </w:r>
      <w:proofErr w:type="gramEnd"/>
      <w:r w:rsidRPr="00214127">
        <w:rPr>
          <w:spacing w:val="2"/>
          <w:shd w:val="clear" w:color="auto" w:fill="FFFFFF"/>
        </w:rPr>
        <w:t xml:space="preserve"> автомобильных дорог, а также по сохранению их текущего транспортно-эксплуатационного состояния. Выполнение необходимых нормативов сезонных работ позволяет поддерживать дороги в состоянии, отвечающем нормативным требованиям, стандартам, обеспечивающим безопасность дорожного движения.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 xml:space="preserve">Недостаточные объемы ремонта и </w:t>
      </w:r>
      <w:proofErr w:type="gramStart"/>
      <w:r w:rsidRPr="00214127">
        <w:rPr>
          <w:spacing w:val="2"/>
          <w:shd w:val="clear" w:color="auto" w:fill="FFFFFF"/>
        </w:rPr>
        <w:t>содержания</w:t>
      </w:r>
      <w:proofErr w:type="gramEnd"/>
      <w:r w:rsidRPr="00214127">
        <w:rPr>
          <w:spacing w:val="2"/>
          <w:shd w:val="clear" w:color="auto" w:fill="FFFFFF"/>
        </w:rPr>
        <w:t xml:space="preserve"> автомобильных дорог отрицательно влияют на их технико-эксплуатационные показатели, увеличивая транспортные издержки в экономике, ограничивают транспортную доступность территорий, тем самым усугубляя положение в социальной сфере, вызывая недовольство населения отсутствием комфортной среды проживания</w:t>
      </w:r>
      <w:r>
        <w:rPr>
          <w:spacing w:val="2"/>
          <w:shd w:val="clear" w:color="auto" w:fill="FFFFFF"/>
        </w:rPr>
        <w:t xml:space="preserve">. </w:t>
      </w:r>
      <w:r w:rsidRPr="007F3101">
        <w:rPr>
          <w:color w:val="2D2D2D"/>
          <w:spacing w:val="2"/>
          <w:shd w:val="clear" w:color="auto" w:fill="FFFFFF"/>
        </w:rPr>
        <w:t>Кроме того, неудовлетворительные дорожные условия способствуют возникновению дорожно-транспортных происшествий</w:t>
      </w:r>
    </w:p>
    <w:p w:rsidR="00052099" w:rsidRDefault="00052099" w:rsidP="00052099">
      <w:pPr>
        <w:ind w:firstLine="567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  <w:lang w:eastAsia="ru-RU"/>
        </w:rPr>
        <w:t>О</w:t>
      </w:r>
      <w:r w:rsidRPr="00425F07">
        <w:rPr>
          <w:b/>
          <w:lang w:eastAsia="ru-RU"/>
        </w:rPr>
        <w:t xml:space="preserve">писание социальных, экономических и экологических последствий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программы, оценк</w:t>
      </w:r>
      <w:r>
        <w:rPr>
          <w:b/>
          <w:lang w:eastAsia="ru-RU"/>
        </w:rPr>
        <w:t xml:space="preserve">а </w:t>
      </w:r>
      <w:r w:rsidRPr="00425F07">
        <w:rPr>
          <w:b/>
          <w:lang w:eastAsia="ru-RU"/>
        </w:rPr>
        <w:t>рисков ее реализации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 w:rsidRPr="00AF6C6F">
        <w:rPr>
          <w:lang w:eastAsia="ru-RU"/>
        </w:rPr>
        <w:t xml:space="preserve">Реализация </w:t>
      </w:r>
      <w:r>
        <w:rPr>
          <w:lang w:eastAsia="ru-RU"/>
        </w:rPr>
        <w:t xml:space="preserve">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позволит улучшить </w:t>
      </w:r>
      <w:r w:rsidRPr="007F3101">
        <w:rPr>
          <w:spacing w:val="2"/>
          <w:shd w:val="clear" w:color="auto" w:fill="FFFFFF"/>
        </w:rPr>
        <w:t>технико-эксплуатационные показатели</w:t>
      </w:r>
      <w:r>
        <w:rPr>
          <w:spacing w:val="2"/>
          <w:shd w:val="clear" w:color="auto" w:fill="FFFFFF"/>
        </w:rPr>
        <w:t xml:space="preserve">, уменьшить экономические издержки, улучшить санитарное содержание дорог, экологической безопасности, повысит комфортность </w:t>
      </w:r>
      <w:r>
        <w:rPr>
          <w:lang w:eastAsia="ru-RU"/>
        </w:rPr>
        <w:t>для проживания населения и привлекательность для приобретения жилья на территории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На основе анализа мероприятий, предлагаемых для реализации в рамках </w:t>
      </w:r>
      <w:r w:rsidR="00BA5E4F">
        <w:rPr>
          <w:lang w:eastAsia="ru-RU"/>
        </w:rPr>
        <w:t xml:space="preserve">муниципальной </w:t>
      </w:r>
      <w:r>
        <w:rPr>
          <w:lang w:eastAsia="ru-RU"/>
        </w:rPr>
        <w:t xml:space="preserve"> программы, выделены следующие риски ее реализации.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lastRenderedPageBreak/>
        <w:t>Риски возникновения обстоятельств непреодолимой силы. Возникновение данных рисков может привести к недофинансированию запланированных мероприятий ведомственной целевой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Административные риски связаны с неэффективным управлением реализации мероприятий ведомственной целевой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создание системы мониторинга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своевременная корректировка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FC7A59">
        <w:rPr>
          <w:b/>
          <w:lang w:eastAsia="ru-RU"/>
        </w:rPr>
        <w:t xml:space="preserve">Обоснование объемов бюджетных ассигнований на реализацию </w:t>
      </w:r>
      <w:r w:rsidR="00BA5E4F">
        <w:rPr>
          <w:b/>
          <w:lang w:eastAsia="ru-RU"/>
        </w:rPr>
        <w:t>муниципальной</w:t>
      </w:r>
      <w:r w:rsidRPr="00FC7A59">
        <w:rPr>
          <w:b/>
          <w:lang w:eastAsia="ru-RU"/>
        </w:rPr>
        <w:t xml:space="preserve"> программы</w:t>
      </w:r>
    </w:p>
    <w:p w:rsidR="00052099" w:rsidRDefault="00052099" w:rsidP="00052099">
      <w:pPr>
        <w:pStyle w:val="a9"/>
        <w:ind w:left="0" w:firstLine="708"/>
        <w:rPr>
          <w:lang w:eastAsia="ru-RU"/>
        </w:rPr>
      </w:pPr>
      <w:r>
        <w:rPr>
          <w:lang w:eastAsia="ru-RU"/>
        </w:rPr>
        <w:t xml:space="preserve">Финансирование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осуществляется за счет средств местного бюджета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Сведения </w:t>
      </w:r>
      <w:proofErr w:type="gramStart"/>
      <w:r>
        <w:rPr>
          <w:lang w:eastAsia="ru-RU"/>
        </w:rPr>
        <w:t>объеме</w:t>
      </w:r>
      <w:proofErr w:type="gramEnd"/>
      <w:r>
        <w:rPr>
          <w:lang w:eastAsia="ru-RU"/>
        </w:rPr>
        <w:t xml:space="preserve"> бюджетных ассигнований на реализацию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приведены в Перечне программных мероприятий, являющемся частью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Pr="007F3101" w:rsidRDefault="00052099" w:rsidP="00052099">
      <w:pPr>
        <w:pStyle w:val="a9"/>
        <w:ind w:left="0" w:firstLine="708"/>
        <w:jc w:val="both"/>
        <w:rPr>
          <w:lang w:eastAsia="ru-RU"/>
        </w:rPr>
      </w:pPr>
      <w:proofErr w:type="gramStart"/>
      <w:r>
        <w:rPr>
          <w:lang w:eastAsia="ru-RU"/>
        </w:rPr>
        <w:t xml:space="preserve">Обоснование объема бюджетных ассигнований на реализацию мероприятий </w:t>
      </w:r>
      <w:r w:rsidR="00BA5E4F">
        <w:rPr>
          <w:lang w:eastAsia="ru-RU"/>
        </w:rPr>
        <w:t>муниципальной программы</w:t>
      </w:r>
      <w:r>
        <w:rPr>
          <w:lang w:eastAsia="ru-RU"/>
        </w:rPr>
        <w:t xml:space="preserve"> осуществляется в соответствии с </w:t>
      </w:r>
      <w:r>
        <w:rPr>
          <w:bCs/>
          <w:lang w:eastAsia="ru-RU"/>
        </w:rPr>
        <w:t>р</w:t>
      </w:r>
      <w:r w:rsidRPr="007F3101">
        <w:rPr>
          <w:bCs/>
          <w:lang w:eastAsia="ru-RU"/>
        </w:rPr>
        <w:t>аспоряжение</w:t>
      </w:r>
      <w:r>
        <w:rPr>
          <w:bCs/>
          <w:lang w:eastAsia="ru-RU"/>
        </w:rPr>
        <w:t>м</w:t>
      </w:r>
      <w:r w:rsidRPr="007F3101">
        <w:rPr>
          <w:bCs/>
          <w:lang w:eastAsia="ru-RU"/>
        </w:rPr>
        <w:t xml:space="preserve"> Комитета по экономической политике и стратегическому </w:t>
      </w:r>
      <w:r w:rsidRPr="00D96382">
        <w:rPr>
          <w:bCs/>
          <w:lang w:eastAsia="ru-RU"/>
        </w:rPr>
        <w:t>пла</w:t>
      </w:r>
      <w:r>
        <w:rPr>
          <w:bCs/>
          <w:lang w:eastAsia="ru-RU"/>
        </w:rPr>
        <w:t xml:space="preserve">нированию </w:t>
      </w:r>
      <w:r w:rsidR="00BA5E4F">
        <w:rPr>
          <w:bCs/>
          <w:lang w:eastAsia="ru-RU"/>
        </w:rPr>
        <w:t>Санкт-Петербурга от 31</w:t>
      </w:r>
      <w:r>
        <w:rPr>
          <w:bCs/>
          <w:lang w:eastAsia="ru-RU"/>
        </w:rPr>
        <w:t>.05.2022 №52</w:t>
      </w:r>
      <w:r w:rsidRPr="00D96382">
        <w:rPr>
          <w:bCs/>
          <w:lang w:eastAsia="ru-RU"/>
        </w:rPr>
        <w:t>-р «Об утверждении нормативов финансовых затрат на капитальный ремонт, ремонт и содержание автомобильных дорог регионального значения в Санкт-Петербурге на 202</w:t>
      </w:r>
      <w:r>
        <w:rPr>
          <w:bCs/>
          <w:lang w:eastAsia="ru-RU"/>
        </w:rPr>
        <w:t>3</w:t>
      </w:r>
      <w:r w:rsidRPr="00D96382">
        <w:rPr>
          <w:bCs/>
          <w:lang w:eastAsia="ru-RU"/>
        </w:rPr>
        <w:t xml:space="preserve"> год и на плановый период 202</w:t>
      </w:r>
      <w:r>
        <w:rPr>
          <w:bCs/>
          <w:lang w:eastAsia="ru-RU"/>
        </w:rPr>
        <w:t>4</w:t>
      </w:r>
      <w:r w:rsidRPr="00D96382">
        <w:rPr>
          <w:bCs/>
          <w:lang w:eastAsia="ru-RU"/>
        </w:rPr>
        <w:t xml:space="preserve"> и 202</w:t>
      </w:r>
      <w:r>
        <w:rPr>
          <w:bCs/>
          <w:lang w:eastAsia="ru-RU"/>
        </w:rPr>
        <w:t>5</w:t>
      </w:r>
      <w:r w:rsidRPr="00D96382">
        <w:rPr>
          <w:bCs/>
          <w:lang w:eastAsia="ru-RU"/>
        </w:rPr>
        <w:t xml:space="preserve"> годов».</w:t>
      </w:r>
      <w:proofErr w:type="gramEnd"/>
    </w:p>
    <w:p w:rsidR="00A01C69" w:rsidRPr="0045054C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BA5E4F"/>
    <w:p w:rsidR="00BA5E4F" w:rsidRDefault="00BA5E4F" w:rsidP="00BA5E4F">
      <w:pPr>
        <w:rPr>
          <w:bCs/>
          <w:color w:val="000000"/>
        </w:rPr>
      </w:pPr>
    </w:p>
    <w:p w:rsidR="00A01C69" w:rsidRPr="00054023" w:rsidRDefault="00A01C69" w:rsidP="00A01C69">
      <w:pPr>
        <w:ind w:left="4956" w:firstLine="708"/>
        <w:rPr>
          <w:bCs/>
          <w:color w:val="000000"/>
        </w:rPr>
      </w:pPr>
      <w:r w:rsidRPr="00054023">
        <w:rPr>
          <w:bCs/>
          <w:color w:val="000000"/>
        </w:rPr>
        <w:lastRenderedPageBreak/>
        <w:t>Приложение 1</w:t>
      </w:r>
    </w:p>
    <w:p w:rsidR="00A01C69" w:rsidRPr="00054023" w:rsidRDefault="00A01C69" w:rsidP="00A01C69">
      <w:pPr>
        <w:ind w:left="5670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A01C69" w:rsidRDefault="00A01C69" w:rsidP="00A01C69"/>
    <w:p w:rsidR="00A01C69" w:rsidRPr="005C2E3C" w:rsidRDefault="00A01C69" w:rsidP="00A01C69">
      <w:pPr>
        <w:tabs>
          <w:tab w:val="left" w:pos="3525"/>
        </w:tabs>
        <w:rPr>
          <w:b/>
        </w:rPr>
      </w:pPr>
      <w:r>
        <w:tab/>
      </w:r>
      <w:r w:rsidRPr="005C2E3C">
        <w:rPr>
          <w:b/>
        </w:rPr>
        <w:t>Целевые индикаторы</w:t>
      </w:r>
    </w:p>
    <w:p w:rsidR="00A01C69" w:rsidRDefault="00A01C69" w:rsidP="00A01C69"/>
    <w:tbl>
      <w:tblPr>
        <w:tblW w:w="10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753"/>
        <w:gridCol w:w="1080"/>
        <w:gridCol w:w="1080"/>
        <w:gridCol w:w="1101"/>
        <w:gridCol w:w="870"/>
        <w:gridCol w:w="2433"/>
      </w:tblGrid>
      <w:tr w:rsidR="00A01C69" w:rsidTr="00393AC1">
        <w:trPr>
          <w:trHeight w:val="810"/>
        </w:trPr>
        <w:tc>
          <w:tcPr>
            <w:tcW w:w="846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 xml:space="preserve">№ </w:t>
            </w:r>
            <w:proofErr w:type="spellStart"/>
            <w:proofErr w:type="gramStart"/>
            <w:r w:rsidRPr="00E73AB2">
              <w:rPr>
                <w:i/>
              </w:rPr>
              <w:t>п</w:t>
            </w:r>
            <w:proofErr w:type="spellEnd"/>
            <w:proofErr w:type="gramEnd"/>
            <w:r w:rsidRPr="00E73AB2">
              <w:rPr>
                <w:i/>
              </w:rPr>
              <w:t>/</w:t>
            </w:r>
            <w:proofErr w:type="spellStart"/>
            <w:r w:rsidRPr="00E73AB2">
              <w:rPr>
                <w:i/>
              </w:rPr>
              <w:t>п</w:t>
            </w:r>
            <w:proofErr w:type="spellEnd"/>
          </w:p>
        </w:tc>
        <w:tc>
          <w:tcPr>
            <w:tcW w:w="275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Ед. измерения</w:t>
            </w:r>
          </w:p>
        </w:tc>
        <w:tc>
          <w:tcPr>
            <w:tcW w:w="3051" w:type="dxa"/>
            <w:gridSpan w:val="3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Значение индикатора</w:t>
            </w:r>
          </w:p>
        </w:tc>
        <w:tc>
          <w:tcPr>
            <w:tcW w:w="243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proofErr w:type="gramStart"/>
            <w:r w:rsidRPr="008961C6">
              <w:rPr>
                <w:i/>
                <w:color w:val="000000"/>
                <w:shd w:val="clear" w:color="auto" w:fill="FFFFFF"/>
              </w:rPr>
              <w:t>Ответственный</w:t>
            </w:r>
            <w:proofErr w:type="gramEnd"/>
            <w:r w:rsidRPr="008961C6">
              <w:rPr>
                <w:i/>
                <w:color w:val="000000"/>
                <w:shd w:val="clear" w:color="auto" w:fill="FFFFFF"/>
              </w:rPr>
              <w:t xml:space="preserve"> за достижение целевого показателя</w:t>
            </w:r>
          </w:p>
        </w:tc>
      </w:tr>
      <w:tr w:rsidR="00A01C69" w:rsidTr="00393AC1">
        <w:trPr>
          <w:trHeight w:val="480"/>
        </w:trPr>
        <w:tc>
          <w:tcPr>
            <w:tcW w:w="846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2753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2023</w:t>
            </w:r>
          </w:p>
        </w:tc>
        <w:tc>
          <w:tcPr>
            <w:tcW w:w="1101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2024</w:t>
            </w:r>
          </w:p>
        </w:tc>
        <w:tc>
          <w:tcPr>
            <w:tcW w:w="87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2025</w:t>
            </w:r>
          </w:p>
        </w:tc>
        <w:tc>
          <w:tcPr>
            <w:tcW w:w="2433" w:type="dxa"/>
            <w:vMerge/>
          </w:tcPr>
          <w:p w:rsidR="00A01C69" w:rsidRPr="008961C6" w:rsidRDefault="00A01C69" w:rsidP="00393AC1">
            <w:pPr>
              <w:rPr>
                <w:i/>
                <w:color w:val="000000"/>
                <w:shd w:val="clear" w:color="auto" w:fill="FFFFFF"/>
              </w:rPr>
            </w:pPr>
          </w:p>
        </w:tc>
      </w:tr>
      <w:tr w:rsidR="00A01C69" w:rsidTr="00393AC1">
        <w:tc>
          <w:tcPr>
            <w:tcW w:w="846" w:type="dxa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1.</w:t>
            </w:r>
          </w:p>
        </w:tc>
        <w:tc>
          <w:tcPr>
            <w:tcW w:w="6884" w:type="dxa"/>
            <w:gridSpan w:val="5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2433" w:type="dxa"/>
            <w:vMerge w:val="restart"/>
          </w:tcPr>
          <w:p w:rsidR="00A01C69" w:rsidRPr="00E73AB2" w:rsidRDefault="00A01C69" w:rsidP="00393AC1">
            <w:pPr>
              <w:rPr>
                <w:b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BA5E4F" w:rsidTr="00393AC1">
        <w:tc>
          <w:tcPr>
            <w:tcW w:w="846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2753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</w:p>
        </w:tc>
        <w:tc>
          <w:tcPr>
            <w:tcW w:w="1080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</w:t>
            </w:r>
            <w:proofErr w:type="gramStart"/>
            <w:r w:rsidRPr="00F9719D">
              <w:rPr>
                <w:rFonts w:eastAsia="Times New Roman"/>
                <w:lang w:eastAsia="ru-RU"/>
              </w:rPr>
              <w:t>.м</w:t>
            </w:r>
            <w:proofErr w:type="gramEnd"/>
          </w:p>
        </w:tc>
        <w:tc>
          <w:tcPr>
            <w:tcW w:w="1080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1101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870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2433" w:type="dxa"/>
            <w:vMerge/>
          </w:tcPr>
          <w:p w:rsidR="00BA5E4F" w:rsidRDefault="00BA5E4F" w:rsidP="00393AC1"/>
        </w:tc>
      </w:tr>
    </w:tbl>
    <w:p w:rsidR="00A01C69" w:rsidRPr="005C2E3C" w:rsidRDefault="00A01C69" w:rsidP="00A01C69">
      <w:pPr>
        <w:sectPr w:rsidR="00A01C69" w:rsidRPr="005C2E3C" w:rsidSect="004E1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1C69" w:rsidRDefault="00A01C69" w:rsidP="00A01C69">
      <w:pPr>
        <w:rPr>
          <w:rFonts w:eastAsia="Times New Roman"/>
          <w:b/>
          <w:bCs/>
          <w:color w:val="000000"/>
          <w:lang w:eastAsia="ru-RU"/>
        </w:rPr>
      </w:pPr>
    </w:p>
    <w:p w:rsidR="00A01C69" w:rsidRDefault="00A01C69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 программных мероприятий на 2023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</w:t>
            </w:r>
            <w:proofErr w:type="gramStart"/>
            <w:r w:rsidRPr="00F9719D">
              <w:rPr>
                <w:rFonts w:eastAsia="Times New Roman"/>
                <w:i/>
                <w:lang w:eastAsia="ru-RU"/>
              </w:rPr>
              <w:t>.р</w:t>
            </w:r>
            <w:proofErr w:type="gramEnd"/>
            <w:r w:rsidRPr="00F9719D">
              <w:rPr>
                <w:rFonts w:eastAsia="Times New Roman"/>
                <w:i/>
                <w:lang w:eastAsia="ru-RU"/>
              </w:rPr>
              <w:t>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proofErr w:type="gramStart"/>
            <w:r w:rsidRPr="00F9719D">
              <w:rPr>
                <w:i/>
              </w:rPr>
              <w:t>Ответственный</w:t>
            </w:r>
            <w:proofErr w:type="gramEnd"/>
            <w:r w:rsidRPr="00F9719D">
              <w:rPr>
                <w:i/>
              </w:rPr>
              <w:t xml:space="preserve">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</w:t>
            </w:r>
            <w:proofErr w:type="gramStart"/>
            <w:r w:rsidRPr="00F9719D">
              <w:rPr>
                <w:rFonts w:eastAsia="Times New Roman"/>
                <w:lang w:eastAsia="ru-RU"/>
              </w:rPr>
              <w:t>.м</w:t>
            </w:r>
            <w:proofErr w:type="gramEnd"/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815140" w:rsidRDefault="00815140" w:rsidP="001E0BDF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13987,9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815140" w:rsidTr="00E067A7">
        <w:trPr>
          <w:trHeight w:val="439"/>
        </w:trPr>
        <w:tc>
          <w:tcPr>
            <w:tcW w:w="1198" w:type="dxa"/>
          </w:tcPr>
          <w:p w:rsidR="00815140" w:rsidRPr="00F9719D" w:rsidRDefault="0081514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157" w:type="dxa"/>
          </w:tcPr>
          <w:p w:rsidR="00815140" w:rsidRPr="00F9719D" w:rsidRDefault="0081514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Ремонт проезжей части дорог</w:t>
            </w:r>
          </w:p>
        </w:tc>
        <w:tc>
          <w:tcPr>
            <w:tcW w:w="1871" w:type="dxa"/>
          </w:tcPr>
          <w:p w:rsidR="00815140" w:rsidRPr="00F9719D" w:rsidRDefault="0081514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</w:t>
            </w:r>
            <w:proofErr w:type="gramStart"/>
            <w:r>
              <w:rPr>
                <w:rFonts w:eastAsia="Times New Roman"/>
                <w:lang w:eastAsia="ru-RU"/>
              </w:rPr>
              <w:t>.м</w:t>
            </w:r>
            <w:proofErr w:type="gramEnd"/>
          </w:p>
        </w:tc>
        <w:tc>
          <w:tcPr>
            <w:tcW w:w="1455" w:type="dxa"/>
          </w:tcPr>
          <w:p w:rsidR="00815140" w:rsidRDefault="0081514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1154</w:t>
            </w:r>
          </w:p>
        </w:tc>
        <w:tc>
          <w:tcPr>
            <w:tcW w:w="1917" w:type="dxa"/>
          </w:tcPr>
          <w:p w:rsidR="00815140" w:rsidRPr="00F9719D" w:rsidRDefault="00815140" w:rsidP="00E067A7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III-</w:t>
            </w:r>
            <w:r w:rsidRPr="00F9719D">
              <w:rPr>
                <w:rFonts w:eastAsia="Times New Roman"/>
                <w:lang w:val="en-US" w:eastAsia="ru-RU"/>
              </w:rPr>
              <w:t xml:space="preserve"> 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15140" w:rsidRPr="00815140" w:rsidRDefault="00815140" w:rsidP="009B139F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6</w:t>
            </w:r>
            <w:r w:rsidR="009B139F">
              <w:rPr>
                <w:rFonts w:eastAsia="Times New Roman"/>
                <w:lang w:eastAsia="ru-RU"/>
              </w:rPr>
              <w:t>59</w:t>
            </w:r>
            <w:r>
              <w:rPr>
                <w:rFonts w:eastAsia="Times New Roman"/>
                <w:lang w:val="en-US" w:eastAsia="ru-RU"/>
              </w:rPr>
              <w:t>,0</w:t>
            </w:r>
          </w:p>
        </w:tc>
        <w:tc>
          <w:tcPr>
            <w:tcW w:w="2494" w:type="dxa"/>
          </w:tcPr>
          <w:p w:rsidR="00815140" w:rsidRDefault="00815140" w:rsidP="00E067A7">
            <w:pPr>
              <w:tabs>
                <w:tab w:val="left" w:pos="1815"/>
              </w:tabs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footerReference w:type="even" r:id="rId7"/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 на 2024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</w:t>
            </w:r>
            <w:proofErr w:type="gramStart"/>
            <w:r w:rsidRPr="00F9719D">
              <w:rPr>
                <w:rFonts w:eastAsia="Times New Roman"/>
                <w:i/>
                <w:lang w:eastAsia="ru-RU"/>
              </w:rPr>
              <w:t>.р</w:t>
            </w:r>
            <w:proofErr w:type="gramEnd"/>
            <w:r w:rsidRPr="00F9719D">
              <w:rPr>
                <w:rFonts w:eastAsia="Times New Roman"/>
                <w:i/>
                <w:lang w:eastAsia="ru-RU"/>
              </w:rPr>
              <w:t>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2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proofErr w:type="gramStart"/>
            <w:r w:rsidRPr="00F9719D">
              <w:rPr>
                <w:i/>
              </w:rPr>
              <w:t>Ответственный</w:t>
            </w:r>
            <w:proofErr w:type="gramEnd"/>
            <w:r w:rsidRPr="00F9719D">
              <w:rPr>
                <w:i/>
              </w:rPr>
              <w:t xml:space="preserve">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</w:t>
            </w:r>
            <w:proofErr w:type="gramStart"/>
            <w:r w:rsidRPr="00F9719D">
              <w:rPr>
                <w:rFonts w:eastAsia="Times New Roman"/>
                <w:lang w:eastAsia="ru-RU"/>
              </w:rPr>
              <w:t>.м</w:t>
            </w:r>
            <w:proofErr w:type="gramEnd"/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2A4C47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17575</w:t>
            </w:r>
            <w:r w:rsidR="00801DD0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 на 2025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</w:t>
            </w:r>
            <w:proofErr w:type="gramStart"/>
            <w:r w:rsidRPr="00F9719D">
              <w:rPr>
                <w:rFonts w:eastAsia="Times New Roman"/>
                <w:i/>
                <w:lang w:eastAsia="ru-RU"/>
              </w:rPr>
              <w:t>.р</w:t>
            </w:r>
            <w:proofErr w:type="gramEnd"/>
            <w:r w:rsidRPr="00F9719D">
              <w:rPr>
                <w:rFonts w:eastAsia="Times New Roman"/>
                <w:i/>
                <w:lang w:eastAsia="ru-RU"/>
              </w:rPr>
              <w:t>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proofErr w:type="gramStart"/>
            <w:r w:rsidRPr="00F9719D">
              <w:rPr>
                <w:i/>
              </w:rPr>
              <w:t>Ответственный</w:t>
            </w:r>
            <w:proofErr w:type="gramEnd"/>
            <w:r w:rsidRPr="00F9719D">
              <w:rPr>
                <w:i/>
              </w:rPr>
              <w:t xml:space="preserve">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</w:t>
            </w:r>
            <w:proofErr w:type="gramStart"/>
            <w:r w:rsidRPr="00F9719D">
              <w:rPr>
                <w:rFonts w:eastAsia="Times New Roman"/>
                <w:lang w:eastAsia="ru-RU"/>
              </w:rPr>
              <w:t>.м</w:t>
            </w:r>
            <w:proofErr w:type="gramEnd"/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2A4C47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18526</w:t>
            </w:r>
            <w:r w:rsidR="00801DD0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1383" w:rsidRDefault="00981383" w:rsidP="00981383">
      <w:pPr>
        <w:tabs>
          <w:tab w:val="left" w:pos="975"/>
        </w:tabs>
        <w:jc w:val="center"/>
        <w:rPr>
          <w:b/>
          <w:lang w:eastAsia="ru-RU"/>
        </w:rPr>
      </w:pPr>
      <w:r w:rsidRPr="00943271">
        <w:rPr>
          <w:b/>
          <w:lang w:eastAsia="ru-RU"/>
        </w:rPr>
        <w:lastRenderedPageBreak/>
        <w:t xml:space="preserve">Адресная программа </w:t>
      </w:r>
    </w:p>
    <w:p w:rsidR="00981383" w:rsidRPr="00C50D22" w:rsidRDefault="00981383" w:rsidP="00981383">
      <w:pPr>
        <w:tabs>
          <w:tab w:val="left" w:pos="975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по текущему ремонту дорог, </w:t>
      </w:r>
      <w:r>
        <w:rPr>
          <w:b/>
          <w:bCs/>
          <w:lang w:eastAsia="ru-RU"/>
        </w:rPr>
        <w:t>расположенных в пределах границ муниципального образования, в соответствии с перечнем, утвержденным Правительством Санкт-Петербурга на 2023-2025 год</w:t>
      </w:r>
    </w:p>
    <w:p w:rsidR="00981383" w:rsidRPr="00D37658" w:rsidRDefault="00981383" w:rsidP="00981383">
      <w:pPr>
        <w:rPr>
          <w:lang w:eastAsia="ru-RU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290"/>
        <w:gridCol w:w="1559"/>
        <w:gridCol w:w="2268"/>
        <w:gridCol w:w="1950"/>
        <w:gridCol w:w="2430"/>
        <w:gridCol w:w="2282"/>
      </w:tblGrid>
      <w:tr w:rsidR="00981383" w:rsidTr="00981383">
        <w:trPr>
          <w:trHeight w:val="330"/>
        </w:trPr>
        <w:tc>
          <w:tcPr>
            <w:tcW w:w="576" w:type="dxa"/>
            <w:vMerge w:val="restart"/>
          </w:tcPr>
          <w:p w:rsidR="00981383" w:rsidRPr="00E73AB2" w:rsidRDefault="00981383" w:rsidP="000F7F9E">
            <w:pPr>
              <w:rPr>
                <w:b/>
                <w:lang w:eastAsia="ru-RU"/>
              </w:rPr>
            </w:pPr>
            <w:r w:rsidRPr="00E73AB2">
              <w:rPr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E73AB2">
              <w:rPr>
                <w:b/>
                <w:lang w:eastAsia="ru-RU"/>
              </w:rPr>
              <w:t>п</w:t>
            </w:r>
            <w:proofErr w:type="spellEnd"/>
            <w:proofErr w:type="gramEnd"/>
            <w:r w:rsidRPr="00E73AB2">
              <w:rPr>
                <w:b/>
                <w:lang w:eastAsia="ru-RU"/>
              </w:rPr>
              <w:t>/</w:t>
            </w:r>
            <w:proofErr w:type="spellStart"/>
            <w:r w:rsidRPr="00E73AB2">
              <w:rPr>
                <w:b/>
                <w:lang w:eastAsia="ru-RU"/>
              </w:rPr>
              <w:t>п</w:t>
            </w:r>
            <w:proofErr w:type="spellEnd"/>
          </w:p>
        </w:tc>
        <w:tc>
          <w:tcPr>
            <w:tcW w:w="3290" w:type="dxa"/>
            <w:vMerge w:val="restart"/>
          </w:tcPr>
          <w:p w:rsidR="00981383" w:rsidRPr="00E73AB2" w:rsidRDefault="00981383" w:rsidP="000F7F9E">
            <w:pPr>
              <w:rPr>
                <w:b/>
                <w:lang w:eastAsia="ru-RU"/>
              </w:rPr>
            </w:pPr>
            <w:r w:rsidRPr="00E73AB2">
              <w:rPr>
                <w:b/>
                <w:lang w:eastAsia="ru-RU"/>
              </w:rPr>
              <w:t xml:space="preserve">Наименование </w:t>
            </w:r>
            <w:r>
              <w:rPr>
                <w:b/>
                <w:lang w:eastAsia="ru-RU"/>
              </w:rPr>
              <w:t>объекта</w:t>
            </w:r>
          </w:p>
        </w:tc>
        <w:tc>
          <w:tcPr>
            <w:tcW w:w="1559" w:type="dxa"/>
            <w:vMerge w:val="restart"/>
          </w:tcPr>
          <w:p w:rsidR="00981383" w:rsidRPr="00E73AB2" w:rsidRDefault="00981383" w:rsidP="000F7F9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981383" w:rsidRPr="00E73AB2" w:rsidRDefault="00981383" w:rsidP="000F7F9E">
            <w:pPr>
              <w:rPr>
                <w:b/>
                <w:vertAlign w:val="superscript"/>
                <w:lang w:eastAsia="ru-RU"/>
              </w:rPr>
            </w:pPr>
            <w:r>
              <w:rPr>
                <w:b/>
                <w:lang w:eastAsia="ru-RU"/>
              </w:rPr>
              <w:t>Количество</w:t>
            </w:r>
          </w:p>
        </w:tc>
        <w:tc>
          <w:tcPr>
            <w:tcW w:w="6662" w:type="dxa"/>
            <w:gridSpan w:val="3"/>
          </w:tcPr>
          <w:p w:rsidR="00981383" w:rsidRPr="00E73AB2" w:rsidRDefault="00981383" w:rsidP="00981383">
            <w:pPr>
              <w:jc w:val="center"/>
              <w:rPr>
                <w:b/>
                <w:lang w:eastAsia="ru-RU"/>
              </w:rPr>
            </w:pPr>
            <w:r w:rsidRPr="00E73AB2">
              <w:rPr>
                <w:b/>
                <w:lang w:eastAsia="ru-RU"/>
              </w:rPr>
              <w:t xml:space="preserve">Стоимость, </w:t>
            </w:r>
            <w:proofErr w:type="spellStart"/>
            <w:r w:rsidRPr="00E73AB2">
              <w:rPr>
                <w:b/>
                <w:lang w:eastAsia="ru-RU"/>
              </w:rPr>
              <w:t>тыс</w:t>
            </w:r>
            <w:proofErr w:type="gramStart"/>
            <w:r w:rsidRPr="00E73AB2">
              <w:rPr>
                <w:b/>
                <w:lang w:eastAsia="ru-RU"/>
              </w:rPr>
              <w:t>.р</w:t>
            </w:r>
            <w:proofErr w:type="gramEnd"/>
            <w:r w:rsidRPr="00E73AB2">
              <w:rPr>
                <w:b/>
                <w:lang w:eastAsia="ru-RU"/>
              </w:rPr>
              <w:t>уб</w:t>
            </w:r>
            <w:proofErr w:type="spellEnd"/>
          </w:p>
        </w:tc>
      </w:tr>
      <w:tr w:rsidR="00981383" w:rsidTr="00981383">
        <w:trPr>
          <w:trHeight w:val="225"/>
        </w:trPr>
        <w:tc>
          <w:tcPr>
            <w:tcW w:w="576" w:type="dxa"/>
            <w:vMerge/>
          </w:tcPr>
          <w:p w:rsidR="00981383" w:rsidRPr="00E73AB2" w:rsidRDefault="00981383" w:rsidP="000F7F9E">
            <w:pPr>
              <w:rPr>
                <w:b/>
                <w:lang w:eastAsia="ru-RU"/>
              </w:rPr>
            </w:pPr>
          </w:p>
        </w:tc>
        <w:tc>
          <w:tcPr>
            <w:tcW w:w="3290" w:type="dxa"/>
            <w:vMerge/>
          </w:tcPr>
          <w:p w:rsidR="00981383" w:rsidRPr="00E73AB2" w:rsidRDefault="00981383" w:rsidP="000F7F9E">
            <w:pPr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981383" w:rsidRDefault="00981383" w:rsidP="000F7F9E">
            <w:pPr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</w:tcPr>
          <w:p w:rsidR="00981383" w:rsidRDefault="00981383" w:rsidP="000F7F9E">
            <w:pPr>
              <w:rPr>
                <w:b/>
                <w:lang w:eastAsia="ru-RU"/>
              </w:rPr>
            </w:pPr>
          </w:p>
        </w:tc>
        <w:tc>
          <w:tcPr>
            <w:tcW w:w="1950" w:type="dxa"/>
          </w:tcPr>
          <w:p w:rsidR="00981383" w:rsidRPr="00E73AB2" w:rsidRDefault="00981383" w:rsidP="008926F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2023</w:t>
            </w:r>
          </w:p>
        </w:tc>
        <w:tc>
          <w:tcPr>
            <w:tcW w:w="2430" w:type="dxa"/>
          </w:tcPr>
          <w:p w:rsidR="00981383" w:rsidRPr="00E73AB2" w:rsidRDefault="00981383" w:rsidP="008926F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2024</w:t>
            </w:r>
          </w:p>
        </w:tc>
        <w:tc>
          <w:tcPr>
            <w:tcW w:w="2282" w:type="dxa"/>
          </w:tcPr>
          <w:p w:rsidR="00981383" w:rsidRPr="00E73AB2" w:rsidRDefault="00981383" w:rsidP="008926F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2025</w:t>
            </w:r>
          </w:p>
        </w:tc>
      </w:tr>
      <w:tr w:rsidR="00981383" w:rsidTr="00981383">
        <w:tc>
          <w:tcPr>
            <w:tcW w:w="576" w:type="dxa"/>
          </w:tcPr>
          <w:p w:rsidR="00981383" w:rsidRDefault="00981383" w:rsidP="000F7F9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290" w:type="dxa"/>
          </w:tcPr>
          <w:p w:rsidR="00981383" w:rsidRPr="00C74AC6" w:rsidRDefault="00981383" w:rsidP="000F7F9E">
            <w:pPr>
              <w:rPr>
                <w:lang w:eastAsia="en-US"/>
              </w:rPr>
            </w:pPr>
            <w:r w:rsidRPr="0068671F">
              <w:rPr>
                <w:rFonts w:eastAsia="Times New Roman"/>
                <w:lang w:eastAsia="ru-RU"/>
              </w:rPr>
              <w:t>Ремонт проезжей части дорог</w:t>
            </w:r>
          </w:p>
        </w:tc>
        <w:tc>
          <w:tcPr>
            <w:tcW w:w="1559" w:type="dxa"/>
          </w:tcPr>
          <w:p w:rsidR="00981383" w:rsidRPr="009C7895" w:rsidRDefault="00981383" w:rsidP="000F7F9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81383" w:rsidRPr="00C74AC6" w:rsidRDefault="00981383" w:rsidP="000F7F9E">
            <w:pPr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981383" w:rsidRDefault="009B139F" w:rsidP="000F7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</w:t>
            </w:r>
            <w:r w:rsidR="009B3115">
              <w:rPr>
                <w:lang w:eastAsia="en-US"/>
              </w:rPr>
              <w:t>,0</w:t>
            </w:r>
          </w:p>
        </w:tc>
        <w:tc>
          <w:tcPr>
            <w:tcW w:w="2430" w:type="dxa"/>
          </w:tcPr>
          <w:p w:rsidR="00981383" w:rsidRDefault="00981383" w:rsidP="000F7F9E">
            <w:pPr>
              <w:jc w:val="center"/>
              <w:rPr>
                <w:lang w:eastAsia="en-US"/>
              </w:rPr>
            </w:pPr>
          </w:p>
        </w:tc>
        <w:tc>
          <w:tcPr>
            <w:tcW w:w="2282" w:type="dxa"/>
          </w:tcPr>
          <w:p w:rsidR="00981383" w:rsidRDefault="00981383" w:rsidP="000F7F9E">
            <w:pPr>
              <w:jc w:val="center"/>
              <w:rPr>
                <w:lang w:eastAsia="en-US"/>
              </w:rPr>
            </w:pPr>
          </w:p>
        </w:tc>
      </w:tr>
      <w:tr w:rsidR="00981383" w:rsidTr="00981383">
        <w:tc>
          <w:tcPr>
            <w:tcW w:w="576" w:type="dxa"/>
          </w:tcPr>
          <w:p w:rsidR="00981383" w:rsidRDefault="00981383" w:rsidP="000F7F9E">
            <w:pPr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90" w:type="dxa"/>
          </w:tcPr>
          <w:p w:rsidR="00981383" w:rsidRPr="00C74AC6" w:rsidRDefault="008926FD" w:rsidP="000F7F9E">
            <w:pPr>
              <w:rPr>
                <w:lang w:eastAsia="en-US"/>
              </w:rPr>
            </w:pPr>
            <w:r>
              <w:rPr>
                <w:lang w:eastAsia="en-US"/>
              </w:rPr>
              <w:t>Народный пер.</w:t>
            </w:r>
          </w:p>
        </w:tc>
        <w:tc>
          <w:tcPr>
            <w:tcW w:w="1559" w:type="dxa"/>
          </w:tcPr>
          <w:p w:rsidR="00981383" w:rsidRPr="009C7895" w:rsidRDefault="008926FD" w:rsidP="000F7F9E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proofErr w:type="gramStart"/>
            <w:r>
              <w:rPr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</w:tcPr>
          <w:p w:rsidR="00981383" w:rsidRPr="00C74AC6" w:rsidRDefault="008926FD" w:rsidP="000F7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</w:t>
            </w:r>
          </w:p>
        </w:tc>
        <w:tc>
          <w:tcPr>
            <w:tcW w:w="1950" w:type="dxa"/>
          </w:tcPr>
          <w:p w:rsidR="00981383" w:rsidRPr="00C74AC6" w:rsidRDefault="009B3115" w:rsidP="009B1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B139F">
              <w:rPr>
                <w:lang w:eastAsia="en-US"/>
              </w:rPr>
              <w:t>59</w:t>
            </w:r>
            <w:r>
              <w:rPr>
                <w:lang w:eastAsia="en-US"/>
              </w:rPr>
              <w:t>,</w:t>
            </w:r>
            <w:r w:rsidR="009B139F">
              <w:rPr>
                <w:lang w:eastAsia="en-US"/>
              </w:rPr>
              <w:t>5</w:t>
            </w:r>
          </w:p>
        </w:tc>
        <w:tc>
          <w:tcPr>
            <w:tcW w:w="2430" w:type="dxa"/>
          </w:tcPr>
          <w:p w:rsidR="00981383" w:rsidRPr="00C74AC6" w:rsidRDefault="00981383" w:rsidP="000F7F9E">
            <w:pPr>
              <w:jc w:val="center"/>
              <w:rPr>
                <w:lang w:eastAsia="en-US"/>
              </w:rPr>
            </w:pPr>
          </w:p>
        </w:tc>
        <w:tc>
          <w:tcPr>
            <w:tcW w:w="2282" w:type="dxa"/>
          </w:tcPr>
          <w:p w:rsidR="00981383" w:rsidRPr="00C74AC6" w:rsidRDefault="00981383" w:rsidP="000F7F9E">
            <w:pPr>
              <w:jc w:val="center"/>
              <w:rPr>
                <w:lang w:eastAsia="en-US"/>
              </w:rPr>
            </w:pPr>
          </w:p>
        </w:tc>
      </w:tr>
      <w:tr w:rsidR="00981383" w:rsidTr="00981383">
        <w:tc>
          <w:tcPr>
            <w:tcW w:w="576" w:type="dxa"/>
          </w:tcPr>
          <w:p w:rsidR="00981383" w:rsidRDefault="00981383" w:rsidP="000F7F9E">
            <w:pPr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90" w:type="dxa"/>
          </w:tcPr>
          <w:p w:rsidR="00981383" w:rsidRDefault="008926FD" w:rsidP="000F7F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пер. </w:t>
            </w:r>
            <w:r>
              <w:rPr>
                <w:color w:val="000000"/>
              </w:rPr>
              <w:t>Кшесинской</w:t>
            </w:r>
          </w:p>
        </w:tc>
        <w:tc>
          <w:tcPr>
            <w:tcW w:w="1559" w:type="dxa"/>
          </w:tcPr>
          <w:p w:rsidR="00981383" w:rsidRPr="009C7895" w:rsidRDefault="008926FD" w:rsidP="000F7F9E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proofErr w:type="gramStart"/>
            <w:r>
              <w:rPr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</w:tcPr>
          <w:p w:rsidR="00981383" w:rsidRDefault="008926FD" w:rsidP="000F7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</w:t>
            </w:r>
          </w:p>
        </w:tc>
        <w:tc>
          <w:tcPr>
            <w:tcW w:w="1950" w:type="dxa"/>
          </w:tcPr>
          <w:p w:rsidR="00981383" w:rsidRDefault="009B139F" w:rsidP="000F7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</w:t>
            </w:r>
            <w:r w:rsidR="009B3115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2430" w:type="dxa"/>
          </w:tcPr>
          <w:p w:rsidR="00981383" w:rsidRDefault="00981383" w:rsidP="000F7F9E">
            <w:pPr>
              <w:jc w:val="center"/>
              <w:rPr>
                <w:lang w:eastAsia="en-US"/>
              </w:rPr>
            </w:pPr>
          </w:p>
        </w:tc>
        <w:tc>
          <w:tcPr>
            <w:tcW w:w="2282" w:type="dxa"/>
          </w:tcPr>
          <w:p w:rsidR="00981383" w:rsidRDefault="00981383" w:rsidP="000F7F9E">
            <w:pPr>
              <w:jc w:val="center"/>
              <w:rPr>
                <w:lang w:eastAsia="en-US"/>
              </w:rPr>
            </w:pPr>
          </w:p>
        </w:tc>
      </w:tr>
    </w:tbl>
    <w:p w:rsidR="00981383" w:rsidRPr="00967F6B" w:rsidRDefault="00981383" w:rsidP="00981383"/>
    <w:p w:rsidR="00423889" w:rsidRDefault="00423889" w:rsidP="00801DD0"/>
    <w:sectPr w:rsidR="00423889" w:rsidSect="009813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56" w:rsidRDefault="004C5156" w:rsidP="00801DD0">
      <w:r>
        <w:separator/>
      </w:r>
    </w:p>
  </w:endnote>
  <w:endnote w:type="continuationSeparator" w:id="0">
    <w:p w:rsidR="004C5156" w:rsidRDefault="004C5156" w:rsidP="0080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69" w:rsidRDefault="00C40518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69" w:rsidRDefault="00C40518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139F">
      <w:rPr>
        <w:rStyle w:val="a8"/>
        <w:noProof/>
      </w:rPr>
      <w:t>7</w: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56" w:rsidRDefault="004C5156" w:rsidP="00801DD0">
      <w:r>
        <w:separator/>
      </w:r>
    </w:p>
  </w:footnote>
  <w:footnote w:type="continuationSeparator" w:id="0">
    <w:p w:rsidR="004C5156" w:rsidRDefault="004C5156" w:rsidP="00801DD0">
      <w:r>
        <w:continuationSeparator/>
      </w:r>
    </w:p>
  </w:footnote>
  <w:footnote w:id="1">
    <w:p w:rsidR="00801DD0" w:rsidRDefault="00801DD0" w:rsidP="00801DD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  <w:footnote w:id="2">
    <w:p w:rsidR="00801DD0" w:rsidRDefault="00801DD0" w:rsidP="00801DD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  <w:footnote w:id="3">
    <w:p w:rsidR="00801DD0" w:rsidRDefault="00801DD0" w:rsidP="00801DD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DD0"/>
    <w:rsid w:val="00052099"/>
    <w:rsid w:val="001A7014"/>
    <w:rsid w:val="001E0BDF"/>
    <w:rsid w:val="00231EA9"/>
    <w:rsid w:val="002615FB"/>
    <w:rsid w:val="00282A40"/>
    <w:rsid w:val="002A4C47"/>
    <w:rsid w:val="003E454B"/>
    <w:rsid w:val="00404B59"/>
    <w:rsid w:val="00423889"/>
    <w:rsid w:val="0045544A"/>
    <w:rsid w:val="004879F1"/>
    <w:rsid w:val="004C5156"/>
    <w:rsid w:val="00500261"/>
    <w:rsid w:val="005536AB"/>
    <w:rsid w:val="005B0B5E"/>
    <w:rsid w:val="005C6938"/>
    <w:rsid w:val="006179E5"/>
    <w:rsid w:val="00672B5E"/>
    <w:rsid w:val="00690FEA"/>
    <w:rsid w:val="00734D04"/>
    <w:rsid w:val="007554DC"/>
    <w:rsid w:val="00801DD0"/>
    <w:rsid w:val="00815140"/>
    <w:rsid w:val="00862F35"/>
    <w:rsid w:val="008926FD"/>
    <w:rsid w:val="00936DF8"/>
    <w:rsid w:val="00981383"/>
    <w:rsid w:val="009B139F"/>
    <w:rsid w:val="009B3115"/>
    <w:rsid w:val="00A01C69"/>
    <w:rsid w:val="00A13142"/>
    <w:rsid w:val="00A50F2B"/>
    <w:rsid w:val="00AC48C8"/>
    <w:rsid w:val="00AD2AAD"/>
    <w:rsid w:val="00BA5E4F"/>
    <w:rsid w:val="00BF7C81"/>
    <w:rsid w:val="00C40518"/>
    <w:rsid w:val="00CC425B"/>
    <w:rsid w:val="00CF1B6B"/>
    <w:rsid w:val="00E635EF"/>
    <w:rsid w:val="00EC1707"/>
    <w:rsid w:val="00ED397C"/>
    <w:rsid w:val="00F0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1C69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1C69"/>
    <w:pPr>
      <w:keepNext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1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1DD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801DD0"/>
    <w:rPr>
      <w:vertAlign w:val="superscript"/>
    </w:rPr>
  </w:style>
  <w:style w:type="character" w:customStyle="1" w:styleId="10">
    <w:name w:val="Заголовок 1 Знак"/>
    <w:basedOn w:val="a0"/>
    <w:link w:val="1"/>
    <w:rsid w:val="00A01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A01C69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01C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A01C69"/>
  </w:style>
  <w:style w:type="paragraph" w:styleId="a9">
    <w:name w:val="List Paragraph"/>
    <w:basedOn w:val="a"/>
    <w:link w:val="aa"/>
    <w:uiPriority w:val="34"/>
    <w:qFormat/>
    <w:rsid w:val="00A01C6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01C69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2023-08-16T07:26:00Z</cp:lastPrinted>
  <dcterms:created xsi:type="dcterms:W3CDTF">2023-11-29T07:05:00Z</dcterms:created>
  <dcterms:modified xsi:type="dcterms:W3CDTF">2023-11-29T07:07:00Z</dcterms:modified>
</cp:coreProperties>
</file>