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D6" w:rsidRDefault="003B23D6" w:rsidP="003B23D6">
      <w:pPr>
        <w:spacing w:after="0"/>
        <w:ind w:left="4536"/>
        <w:rPr>
          <w:szCs w:val="24"/>
        </w:rPr>
      </w:pPr>
      <w:r w:rsidRPr="003B23D6">
        <w:rPr>
          <w:szCs w:val="24"/>
        </w:rPr>
        <w:t>Утвержден</w:t>
      </w:r>
    </w:p>
    <w:p w:rsidR="003B23D6" w:rsidRPr="003B23D6" w:rsidRDefault="003B23D6" w:rsidP="003B23D6">
      <w:pPr>
        <w:spacing w:after="0"/>
        <w:ind w:left="4536"/>
        <w:rPr>
          <w:szCs w:val="24"/>
        </w:rPr>
      </w:pPr>
      <w:r>
        <w:rPr>
          <w:szCs w:val="24"/>
        </w:rPr>
        <w:t xml:space="preserve">Распоряжением Местной администрации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образования поселок Стрельна от 29.12.2018 №373</w:t>
      </w:r>
    </w:p>
    <w:p w:rsidR="003B23D6" w:rsidRDefault="003B23D6" w:rsidP="00434E6C">
      <w:pPr>
        <w:spacing w:after="0"/>
        <w:jc w:val="center"/>
        <w:rPr>
          <w:b/>
          <w:szCs w:val="24"/>
        </w:rPr>
      </w:pPr>
    </w:p>
    <w:p w:rsidR="00434E6C" w:rsidRPr="002A62EB" w:rsidRDefault="00434E6C" w:rsidP="00434E6C">
      <w:pPr>
        <w:spacing w:after="0"/>
        <w:jc w:val="center"/>
        <w:rPr>
          <w:b/>
          <w:szCs w:val="24"/>
        </w:rPr>
      </w:pPr>
      <w:r w:rsidRPr="002A62EB">
        <w:rPr>
          <w:b/>
          <w:szCs w:val="24"/>
        </w:rPr>
        <w:t xml:space="preserve">ПЛАН </w:t>
      </w:r>
      <w:r>
        <w:rPr>
          <w:b/>
          <w:szCs w:val="24"/>
        </w:rPr>
        <w:t>МЕРОПРИЯТИЙ,</w:t>
      </w:r>
    </w:p>
    <w:p w:rsidR="00434E6C" w:rsidRPr="002A62EB" w:rsidRDefault="00434E6C" w:rsidP="00434E6C">
      <w:pPr>
        <w:spacing w:after="0" w:line="240" w:lineRule="auto"/>
        <w:jc w:val="center"/>
        <w:rPr>
          <w:b/>
          <w:szCs w:val="24"/>
        </w:rPr>
      </w:pPr>
      <w:proofErr w:type="gramStart"/>
      <w:r w:rsidRPr="002A62EB">
        <w:rPr>
          <w:b/>
          <w:szCs w:val="24"/>
        </w:rPr>
        <w:t>направленных</w:t>
      </w:r>
      <w:proofErr w:type="gramEnd"/>
      <w:r w:rsidRPr="002A62EB">
        <w:rPr>
          <w:b/>
          <w:szCs w:val="24"/>
        </w:rPr>
        <w:t xml:space="preserve"> на </w:t>
      </w:r>
      <w:r>
        <w:rPr>
          <w:b/>
          <w:szCs w:val="24"/>
        </w:rPr>
        <w:t xml:space="preserve">реализацию </w:t>
      </w:r>
      <w:r w:rsidRPr="002A62EB">
        <w:rPr>
          <w:b/>
          <w:szCs w:val="24"/>
        </w:rPr>
        <w:t>вопроса местного значения</w:t>
      </w:r>
    </w:p>
    <w:p w:rsidR="00434E6C" w:rsidRDefault="00434E6C" w:rsidP="00434E6C">
      <w:pPr>
        <w:spacing w:after="0"/>
        <w:jc w:val="center"/>
        <w:rPr>
          <w:b/>
          <w:szCs w:val="24"/>
        </w:rPr>
      </w:pPr>
      <w:r w:rsidRPr="002A62EB">
        <w:rPr>
          <w:b/>
          <w:szCs w:val="24"/>
        </w:rPr>
        <w:t>«Осуществление защиты прав потребителей»</w:t>
      </w:r>
      <w:r>
        <w:rPr>
          <w:b/>
          <w:szCs w:val="24"/>
        </w:rPr>
        <w:t>,</w:t>
      </w:r>
    </w:p>
    <w:p w:rsidR="00434E6C" w:rsidRDefault="00434E6C" w:rsidP="00434E6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на 2019 год</w:t>
      </w:r>
    </w:p>
    <w:p w:rsidR="00434E6C" w:rsidRPr="00C9061B" w:rsidRDefault="00434E6C" w:rsidP="00434E6C">
      <w:pPr>
        <w:spacing w:after="0"/>
        <w:jc w:val="center"/>
        <w:rPr>
          <w:b/>
          <w:szCs w:val="24"/>
        </w:rPr>
      </w:pPr>
    </w:p>
    <w:tbl>
      <w:tblPr>
        <w:tblStyle w:val="a5"/>
        <w:tblW w:w="10774" w:type="dxa"/>
        <w:tblInd w:w="-34" w:type="dxa"/>
        <w:tblLayout w:type="fixed"/>
        <w:tblLook w:val="04A0"/>
      </w:tblPr>
      <w:tblGrid>
        <w:gridCol w:w="568"/>
        <w:gridCol w:w="5103"/>
        <w:gridCol w:w="1559"/>
        <w:gridCol w:w="2268"/>
        <w:gridCol w:w="1276"/>
      </w:tblGrid>
      <w:tr w:rsidR="00434E6C" w:rsidRPr="00CB76C2" w:rsidTr="00434E6C">
        <w:tc>
          <w:tcPr>
            <w:tcW w:w="568" w:type="dxa"/>
          </w:tcPr>
          <w:p w:rsidR="00434E6C" w:rsidRPr="00CB76C2" w:rsidRDefault="00434E6C" w:rsidP="004812E0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CB76C2">
              <w:rPr>
                <w:b/>
                <w:szCs w:val="24"/>
              </w:rPr>
              <w:t>п</w:t>
            </w:r>
            <w:proofErr w:type="spellEnd"/>
            <w:proofErr w:type="gramEnd"/>
            <w:r w:rsidRPr="00CB76C2">
              <w:rPr>
                <w:b/>
                <w:szCs w:val="24"/>
              </w:rPr>
              <w:t>/</w:t>
            </w:r>
            <w:proofErr w:type="spellStart"/>
            <w:r w:rsidRPr="00CB76C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434E6C" w:rsidRPr="00CB76C2" w:rsidRDefault="00434E6C" w:rsidP="004812E0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434E6C" w:rsidRPr="00CB76C2" w:rsidRDefault="00434E6C" w:rsidP="004812E0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434E6C" w:rsidRPr="00CB76C2" w:rsidRDefault="00434E6C" w:rsidP="004812E0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>Ответственный исполнитель</w:t>
            </w:r>
          </w:p>
        </w:tc>
        <w:tc>
          <w:tcPr>
            <w:tcW w:w="1276" w:type="dxa"/>
          </w:tcPr>
          <w:p w:rsidR="00434E6C" w:rsidRPr="00CB76C2" w:rsidRDefault="00434E6C" w:rsidP="004812E0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>Объем финансирования, руб.</w:t>
            </w:r>
          </w:p>
        </w:tc>
      </w:tr>
      <w:tr w:rsidR="00434E6C" w:rsidRPr="00CB76C2" w:rsidTr="00434E6C">
        <w:tc>
          <w:tcPr>
            <w:tcW w:w="10774" w:type="dxa"/>
            <w:gridSpan w:val="5"/>
          </w:tcPr>
          <w:p w:rsidR="00434E6C" w:rsidRPr="00CB76C2" w:rsidRDefault="00434E6C" w:rsidP="00434E6C">
            <w:pPr>
              <w:pStyle w:val="a7"/>
              <w:numPr>
                <w:ilvl w:val="0"/>
                <w:numId w:val="7"/>
              </w:num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434E6C" w:rsidRPr="00CB76C2" w:rsidTr="00434E6C">
        <w:tc>
          <w:tcPr>
            <w:tcW w:w="568" w:type="dxa"/>
          </w:tcPr>
          <w:p w:rsidR="00434E6C" w:rsidRPr="00CB76C2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5103" w:type="dxa"/>
          </w:tcPr>
          <w:p w:rsidR="00434E6C" w:rsidRPr="00CB76C2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Взаимодействие с территориальными структурными подразделениями федеральных органов исполнительной власти, в чью компетенцию входят вопросы защиты прав потребителей, исполнительными органами государственной власти Санкт-Петербурга, контрольно-надзорными органами, общественными объединениями и ассоциациями потребителей</w:t>
            </w:r>
          </w:p>
        </w:tc>
        <w:tc>
          <w:tcPr>
            <w:tcW w:w="1559" w:type="dxa"/>
          </w:tcPr>
          <w:p w:rsidR="00434E6C" w:rsidRPr="00CB76C2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34E6C" w:rsidRPr="00CB76C2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Административно-правовой отдел</w:t>
            </w:r>
          </w:p>
        </w:tc>
        <w:tc>
          <w:tcPr>
            <w:tcW w:w="1276" w:type="dxa"/>
          </w:tcPr>
          <w:p w:rsidR="00434E6C" w:rsidRPr="00CB76C2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434E6C" w:rsidRPr="00CB76C2" w:rsidTr="00434E6C">
        <w:tc>
          <w:tcPr>
            <w:tcW w:w="5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5103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Участие в работе координационных советов по защите прав потребителей</w:t>
            </w:r>
          </w:p>
        </w:tc>
        <w:tc>
          <w:tcPr>
            <w:tcW w:w="1559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Административно-правовой отдел</w:t>
            </w:r>
          </w:p>
        </w:tc>
        <w:tc>
          <w:tcPr>
            <w:tcW w:w="1276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434E6C" w:rsidRPr="00CB76C2" w:rsidTr="00434E6C">
        <w:tc>
          <w:tcPr>
            <w:tcW w:w="5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5103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Участие в проведении совместных проверок хозяйствующих субъектов по соблюдению законодательства о защите прав потребителей</w:t>
            </w:r>
          </w:p>
        </w:tc>
        <w:tc>
          <w:tcPr>
            <w:tcW w:w="1559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Административно-правовой отдел</w:t>
            </w:r>
          </w:p>
        </w:tc>
        <w:tc>
          <w:tcPr>
            <w:tcW w:w="1276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434E6C" w:rsidRPr="00CB76C2" w:rsidTr="00434E6C">
        <w:tc>
          <w:tcPr>
            <w:tcW w:w="5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5103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Подготовка проектов муниципальных правовых актов по вопросам защиты прав потребителей</w:t>
            </w:r>
          </w:p>
        </w:tc>
        <w:tc>
          <w:tcPr>
            <w:tcW w:w="1559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В соответствии с Планом нормотворчества</w:t>
            </w:r>
          </w:p>
        </w:tc>
        <w:tc>
          <w:tcPr>
            <w:tcW w:w="22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Административно-правовой отдел</w:t>
            </w:r>
          </w:p>
        </w:tc>
        <w:tc>
          <w:tcPr>
            <w:tcW w:w="1276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434E6C" w:rsidRPr="00CB76C2" w:rsidTr="00434E6C">
        <w:tc>
          <w:tcPr>
            <w:tcW w:w="5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5103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 w:rsidRPr="00362DEA">
              <w:rPr>
                <w:szCs w:val="24"/>
              </w:rPr>
              <w:t>Утверждение плана мероприятий, направленных на реализацию вопроса местного значения</w:t>
            </w:r>
          </w:p>
        </w:tc>
        <w:tc>
          <w:tcPr>
            <w:tcW w:w="1559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Декабрь 2019</w:t>
            </w:r>
          </w:p>
        </w:tc>
        <w:tc>
          <w:tcPr>
            <w:tcW w:w="22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Административно-правовой отдел</w:t>
            </w:r>
          </w:p>
        </w:tc>
        <w:tc>
          <w:tcPr>
            <w:tcW w:w="1276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434E6C" w:rsidRPr="00CB76C2" w:rsidTr="00434E6C">
        <w:trPr>
          <w:trHeight w:val="161"/>
        </w:trPr>
        <w:tc>
          <w:tcPr>
            <w:tcW w:w="5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</w:p>
        </w:tc>
        <w:tc>
          <w:tcPr>
            <w:tcW w:w="10206" w:type="dxa"/>
            <w:gridSpan w:val="4"/>
          </w:tcPr>
          <w:p w:rsidR="00434E6C" w:rsidRPr="00C9061B" w:rsidRDefault="00434E6C" w:rsidP="00434E6C">
            <w:pPr>
              <w:pStyle w:val="a7"/>
              <w:numPr>
                <w:ilvl w:val="0"/>
                <w:numId w:val="7"/>
              </w:num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по реализации вопроса местного значения </w:t>
            </w:r>
          </w:p>
        </w:tc>
      </w:tr>
      <w:tr w:rsidR="00434E6C" w:rsidRPr="00CB76C2" w:rsidTr="00434E6C">
        <w:tc>
          <w:tcPr>
            <w:tcW w:w="5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5103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Рассмотрение письменных и устных обращений и заявлений потребителей:</w:t>
            </w:r>
          </w:p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- разъяснение потребителям их прав;</w:t>
            </w:r>
          </w:p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- помощь в составлении претензий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хозяйствующим субъекта по выявленным фактам нарушений законодательства о защите прав потребителей;</w:t>
            </w:r>
          </w:p>
          <w:p w:rsidR="00434E6C" w:rsidRPr="00362DEA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- помощь потребителям в составлении исковых заявлений в суд</w:t>
            </w:r>
          </w:p>
        </w:tc>
        <w:tc>
          <w:tcPr>
            <w:tcW w:w="1559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По мере поступления</w:t>
            </w:r>
          </w:p>
        </w:tc>
        <w:tc>
          <w:tcPr>
            <w:tcW w:w="22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Административно-правовой отдел</w:t>
            </w:r>
          </w:p>
        </w:tc>
        <w:tc>
          <w:tcPr>
            <w:tcW w:w="1276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</w:t>
            </w:r>
            <w:r w:rsidRPr="00A1417F">
              <w:rPr>
                <w:szCs w:val="24"/>
              </w:rPr>
              <w:lastRenderedPageBreak/>
              <w:t>ования</w:t>
            </w:r>
          </w:p>
        </w:tc>
      </w:tr>
      <w:tr w:rsidR="00434E6C" w:rsidRPr="00CB76C2" w:rsidTr="00434E6C">
        <w:tc>
          <w:tcPr>
            <w:tcW w:w="5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2.2</w:t>
            </w:r>
          </w:p>
        </w:tc>
        <w:tc>
          <w:tcPr>
            <w:tcW w:w="5103" w:type="dxa"/>
          </w:tcPr>
          <w:p w:rsidR="00434E6C" w:rsidRPr="00362DEA" w:rsidRDefault="00434E6C" w:rsidP="004812E0">
            <w:pPr>
              <w:rPr>
                <w:szCs w:val="24"/>
              </w:rPr>
            </w:pPr>
            <w:r>
              <w:rPr>
                <w:szCs w:val="24"/>
              </w:rPr>
              <w:t>Консультирование потребителей по вопросам защиты прав потребителей</w:t>
            </w:r>
          </w:p>
        </w:tc>
        <w:tc>
          <w:tcPr>
            <w:tcW w:w="1559" w:type="dxa"/>
          </w:tcPr>
          <w:p w:rsidR="00434E6C" w:rsidRPr="00362DEA" w:rsidRDefault="00434E6C" w:rsidP="004812E0">
            <w:pPr>
              <w:rPr>
                <w:szCs w:val="24"/>
              </w:rPr>
            </w:pPr>
            <w:r>
              <w:rPr>
                <w:szCs w:val="24"/>
              </w:rPr>
              <w:t>По мере поступления обращений граждан</w:t>
            </w:r>
          </w:p>
        </w:tc>
        <w:tc>
          <w:tcPr>
            <w:tcW w:w="22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Административно-правовой отдел</w:t>
            </w:r>
          </w:p>
        </w:tc>
        <w:tc>
          <w:tcPr>
            <w:tcW w:w="1276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434E6C" w:rsidRPr="00CB76C2" w:rsidTr="00434E6C">
        <w:tc>
          <w:tcPr>
            <w:tcW w:w="5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5103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Обращение в суды в защиту прав потребителей (неопределенного круга потребителей)</w:t>
            </w:r>
          </w:p>
        </w:tc>
        <w:tc>
          <w:tcPr>
            <w:tcW w:w="1559" w:type="dxa"/>
          </w:tcPr>
          <w:p w:rsidR="00434E6C" w:rsidRDefault="00434E6C" w:rsidP="004812E0">
            <w:pPr>
              <w:rPr>
                <w:szCs w:val="24"/>
              </w:rPr>
            </w:pPr>
            <w:r>
              <w:rPr>
                <w:szCs w:val="24"/>
              </w:rPr>
              <w:t>По мере поступления обращений</w:t>
            </w:r>
          </w:p>
        </w:tc>
        <w:tc>
          <w:tcPr>
            <w:tcW w:w="22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Административно-правовой отдел</w:t>
            </w:r>
          </w:p>
        </w:tc>
        <w:tc>
          <w:tcPr>
            <w:tcW w:w="1276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434E6C" w:rsidRPr="00CB76C2" w:rsidTr="00434E6C">
        <w:tc>
          <w:tcPr>
            <w:tcW w:w="5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5103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Извещение федеральных органов исполнительной власти, осуществляющих </w:t>
            </w:r>
            <w:proofErr w:type="gramStart"/>
            <w:r>
              <w:rPr>
                <w:szCs w:val="24"/>
              </w:rPr>
              <w:t>контроль за</w:t>
            </w:r>
            <w:proofErr w:type="gramEnd"/>
            <w:r>
              <w:rPr>
                <w:szCs w:val="24"/>
              </w:rPr>
              <w:t xml:space="preserve"> качеством и безопасностью товаров (работ, услуг) о выявлении ненадлежащего качества, а также опасных для жизни, здоровья, имущества потребителей и окружающей среды товаров (работ, услуг)</w:t>
            </w:r>
          </w:p>
        </w:tc>
        <w:tc>
          <w:tcPr>
            <w:tcW w:w="1559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Незамедлительно при выявлении случаев по жалобам потребителей</w:t>
            </w:r>
          </w:p>
        </w:tc>
        <w:tc>
          <w:tcPr>
            <w:tcW w:w="22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Административно-правовой отдел</w:t>
            </w:r>
          </w:p>
        </w:tc>
        <w:tc>
          <w:tcPr>
            <w:tcW w:w="1276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434E6C" w:rsidRPr="00CB76C2" w:rsidTr="00434E6C">
        <w:tc>
          <w:tcPr>
            <w:tcW w:w="5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5103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Проведение мероприятий по пресечению торговли продовольственными и непродовольственными товарами в неустановленных местах</w:t>
            </w:r>
          </w:p>
        </w:tc>
        <w:tc>
          <w:tcPr>
            <w:tcW w:w="1559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Должностные лица, уполномоченные на составление протоколов об административных правонарушениях</w:t>
            </w:r>
          </w:p>
        </w:tc>
        <w:tc>
          <w:tcPr>
            <w:tcW w:w="1276" w:type="dxa"/>
          </w:tcPr>
          <w:p w:rsidR="00434E6C" w:rsidRPr="00A1417F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434E6C" w:rsidRPr="00CB76C2" w:rsidTr="00434E6C">
        <w:trPr>
          <w:trHeight w:val="958"/>
        </w:trPr>
        <w:tc>
          <w:tcPr>
            <w:tcW w:w="5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5103" w:type="dxa"/>
          </w:tcPr>
          <w:p w:rsidR="00434E6C" w:rsidRPr="005D0E16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pacing w:val="2"/>
                <w:szCs w:val="24"/>
                <w:shd w:val="clear" w:color="auto" w:fill="FFFFFF"/>
              </w:rPr>
              <w:t>Внесение предложений в Муниципальный Совет Муниципального образования поселок Стрельна о принятии решения об определении</w:t>
            </w:r>
            <w:r w:rsidRPr="005D0E16">
              <w:rPr>
                <w:spacing w:val="2"/>
                <w:szCs w:val="24"/>
                <w:shd w:val="clear" w:color="auto" w:fill="FFFFFF"/>
              </w:rPr>
              <w:t xml:space="preserve"> границ прилегающих территорий, на которых не допускается розничная продажа алкогольной продукции, в порядке, установленном Правительством Российской Федерации</w:t>
            </w:r>
          </w:p>
        </w:tc>
        <w:tc>
          <w:tcPr>
            <w:tcW w:w="1559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Административно-правовой отдел</w:t>
            </w:r>
          </w:p>
        </w:tc>
        <w:tc>
          <w:tcPr>
            <w:tcW w:w="1276" w:type="dxa"/>
          </w:tcPr>
          <w:p w:rsidR="00434E6C" w:rsidRPr="00A1417F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434E6C" w:rsidRPr="00CB76C2" w:rsidTr="00434E6C">
        <w:trPr>
          <w:trHeight w:val="418"/>
        </w:trPr>
        <w:tc>
          <w:tcPr>
            <w:tcW w:w="5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2.7</w:t>
            </w:r>
          </w:p>
        </w:tc>
        <w:tc>
          <w:tcPr>
            <w:tcW w:w="5103" w:type="dxa"/>
          </w:tcPr>
          <w:p w:rsidR="00434E6C" w:rsidRPr="005D0E16" w:rsidRDefault="00434E6C" w:rsidP="004812E0">
            <w:pPr>
              <w:tabs>
                <w:tab w:val="left" w:pos="2715"/>
              </w:tabs>
              <w:rPr>
                <w:spacing w:val="2"/>
                <w:szCs w:val="24"/>
                <w:shd w:val="clear" w:color="auto" w:fill="FFFFFF"/>
              </w:rPr>
            </w:pPr>
            <w:r w:rsidRPr="005D0E16">
              <w:rPr>
                <w:spacing w:val="2"/>
                <w:szCs w:val="24"/>
                <w:shd w:val="clear" w:color="auto" w:fill="FFFFFF"/>
              </w:rPr>
              <w:t xml:space="preserve">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</w:t>
            </w:r>
            <w:r w:rsidRPr="005D0E16">
              <w:rPr>
                <w:spacing w:val="2"/>
                <w:szCs w:val="24"/>
                <w:shd w:val="clear" w:color="auto" w:fill="FFFFFF"/>
              </w:rPr>
              <w:lastRenderedPageBreak/>
              <w:t xml:space="preserve">осуществляющих розничную продажу пива, пивных напитков, сидра, </w:t>
            </w:r>
            <w:proofErr w:type="spellStart"/>
            <w:r w:rsidRPr="005D0E16">
              <w:rPr>
                <w:spacing w:val="2"/>
                <w:szCs w:val="24"/>
                <w:shd w:val="clear" w:color="auto" w:fill="FFFFFF"/>
              </w:rPr>
              <w:t>пуаре</w:t>
            </w:r>
            <w:proofErr w:type="spellEnd"/>
            <w:r w:rsidRPr="005D0E16">
              <w:rPr>
                <w:spacing w:val="2"/>
                <w:szCs w:val="24"/>
                <w:shd w:val="clear" w:color="auto" w:fill="FFFFFF"/>
              </w:rPr>
              <w:t xml:space="preserve">, медовухи, а также розничную продажу пива, пивных напитков, сидра, </w:t>
            </w:r>
            <w:proofErr w:type="spellStart"/>
            <w:r w:rsidRPr="005D0E16">
              <w:rPr>
                <w:spacing w:val="2"/>
                <w:szCs w:val="24"/>
                <w:shd w:val="clear" w:color="auto" w:fill="FFFFFF"/>
              </w:rPr>
              <w:t>пуаре</w:t>
            </w:r>
            <w:proofErr w:type="spellEnd"/>
            <w:r w:rsidRPr="005D0E16">
              <w:rPr>
                <w:spacing w:val="2"/>
                <w:szCs w:val="24"/>
                <w:shd w:val="clear" w:color="auto" w:fill="FFFFFF"/>
              </w:rPr>
              <w:t xml:space="preserve">, медовухи при оказании услуг общественного питания, о принятом муниципальном правовом </w:t>
            </w:r>
            <w:proofErr w:type="gramStart"/>
            <w:r w:rsidRPr="005D0E16">
              <w:rPr>
                <w:spacing w:val="2"/>
                <w:szCs w:val="24"/>
                <w:shd w:val="clear" w:color="auto" w:fill="FFFFFF"/>
              </w:rPr>
              <w:t>акте</w:t>
            </w:r>
            <w:proofErr w:type="gramEnd"/>
            <w:r w:rsidRPr="005D0E16">
              <w:rPr>
                <w:spacing w:val="2"/>
                <w:szCs w:val="24"/>
                <w:shd w:val="clear" w:color="auto" w:fill="FFFFFF"/>
              </w:rPr>
              <w:t xml:space="preserve"> об определении границ прилегающих территорий, на которых не допускается розничная продажа алкогольной продукции, в порядке, установленном законом </w:t>
            </w:r>
            <w:bookmarkStart w:id="0" w:name="_GoBack"/>
            <w:bookmarkEnd w:id="0"/>
            <w:r w:rsidRPr="005D0E16">
              <w:rPr>
                <w:spacing w:val="2"/>
                <w:szCs w:val="24"/>
                <w:shd w:val="clear" w:color="auto" w:fill="FFFFFF"/>
              </w:rPr>
              <w:t>Санкт-Петербурга</w:t>
            </w:r>
          </w:p>
        </w:tc>
        <w:tc>
          <w:tcPr>
            <w:tcW w:w="1559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По мере поступления уведомлений из уполномоче</w:t>
            </w:r>
            <w:r>
              <w:rPr>
                <w:szCs w:val="24"/>
              </w:rPr>
              <w:lastRenderedPageBreak/>
              <w:t>нного органа</w:t>
            </w:r>
          </w:p>
        </w:tc>
        <w:tc>
          <w:tcPr>
            <w:tcW w:w="22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Специалисты Муниципального Совета Муниципального образования </w:t>
            </w:r>
            <w:r>
              <w:rPr>
                <w:szCs w:val="24"/>
              </w:rPr>
              <w:lastRenderedPageBreak/>
              <w:t>поселок Стрельна</w:t>
            </w:r>
          </w:p>
        </w:tc>
        <w:tc>
          <w:tcPr>
            <w:tcW w:w="1276" w:type="dxa"/>
          </w:tcPr>
          <w:p w:rsidR="00434E6C" w:rsidRPr="00A1417F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lastRenderedPageBreak/>
              <w:t>Без финансирования</w:t>
            </w:r>
          </w:p>
        </w:tc>
      </w:tr>
      <w:tr w:rsidR="00434E6C" w:rsidRPr="00CB76C2" w:rsidTr="00434E6C">
        <w:trPr>
          <w:trHeight w:val="418"/>
        </w:trPr>
        <w:tc>
          <w:tcPr>
            <w:tcW w:w="568" w:type="dxa"/>
          </w:tcPr>
          <w:p w:rsidR="00434E6C" w:rsidRDefault="00434E6C" w:rsidP="00434E6C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2.8</w:t>
            </w:r>
          </w:p>
        </w:tc>
        <w:tc>
          <w:tcPr>
            <w:tcW w:w="5103" w:type="dxa"/>
          </w:tcPr>
          <w:p w:rsidR="00434E6C" w:rsidRPr="005D0E16" w:rsidRDefault="00434E6C" w:rsidP="004812E0">
            <w:pPr>
              <w:tabs>
                <w:tab w:val="left" w:pos="2715"/>
              </w:tabs>
              <w:rPr>
                <w:spacing w:val="2"/>
                <w:szCs w:val="24"/>
                <w:shd w:val="clear" w:color="auto" w:fill="FFFFFF"/>
              </w:rPr>
            </w:pPr>
            <w:r w:rsidRPr="003F5DAB">
              <w:rPr>
                <w:szCs w:val="24"/>
                <w:lang w:eastAsia="ru-RU"/>
              </w:rPr>
              <w:t>Публикация в газете «Вести Стрельны»</w:t>
            </w:r>
            <w:r>
              <w:rPr>
                <w:szCs w:val="24"/>
                <w:lang w:eastAsia="ru-RU"/>
              </w:rPr>
              <w:t xml:space="preserve">, на официальном сайте в информационно-телекоммуникационной сети «Интернет» по адресу: </w:t>
            </w:r>
            <w:hyperlink r:id="rId6" w:history="1">
              <w:r w:rsidRPr="00EA0F50">
                <w:rPr>
                  <w:rStyle w:val="a6"/>
                  <w:szCs w:val="24"/>
                  <w:lang w:val="en-US" w:eastAsia="ru-RU"/>
                </w:rPr>
                <w:t>www</w:t>
              </w:r>
              <w:r w:rsidRPr="00EA0F50">
                <w:rPr>
                  <w:rStyle w:val="a6"/>
                  <w:szCs w:val="24"/>
                  <w:lang w:eastAsia="ru-RU"/>
                </w:rPr>
                <w:t>.</w:t>
              </w:r>
              <w:r w:rsidRPr="00EA0F50">
                <w:rPr>
                  <w:rStyle w:val="a6"/>
                  <w:szCs w:val="24"/>
                  <w:lang w:val="en-US" w:eastAsia="ru-RU"/>
                </w:rPr>
                <w:t>mo</w:t>
              </w:r>
              <w:r w:rsidRPr="00EA0F50">
                <w:rPr>
                  <w:rStyle w:val="a6"/>
                  <w:szCs w:val="24"/>
                  <w:lang w:eastAsia="ru-RU"/>
                </w:rPr>
                <w:t>-</w:t>
              </w:r>
              <w:r w:rsidRPr="00EA0F50">
                <w:rPr>
                  <w:rStyle w:val="a6"/>
                  <w:szCs w:val="24"/>
                  <w:lang w:val="en-US" w:eastAsia="ru-RU"/>
                </w:rPr>
                <w:t>strelna</w:t>
              </w:r>
              <w:r w:rsidRPr="00EA0F50">
                <w:rPr>
                  <w:rStyle w:val="a6"/>
                  <w:szCs w:val="24"/>
                  <w:lang w:eastAsia="ru-RU"/>
                </w:rPr>
                <w:t>.</w:t>
              </w:r>
              <w:r w:rsidRPr="00EA0F50">
                <w:rPr>
                  <w:rStyle w:val="a6"/>
                  <w:szCs w:val="24"/>
                  <w:lang w:val="en-US" w:eastAsia="ru-RU"/>
                </w:rPr>
                <w:t>ru</w:t>
              </w:r>
            </w:hyperlink>
            <w:r>
              <w:rPr>
                <w:szCs w:val="24"/>
                <w:lang w:eastAsia="ru-RU"/>
              </w:rPr>
              <w:t xml:space="preserve">, на информационных стендах </w:t>
            </w:r>
            <w:r w:rsidRPr="003F5DAB">
              <w:rPr>
                <w:szCs w:val="24"/>
                <w:lang w:eastAsia="ru-RU"/>
              </w:rPr>
              <w:t xml:space="preserve"> информационных материалов по вопросам </w:t>
            </w:r>
            <w:r>
              <w:rPr>
                <w:szCs w:val="24"/>
                <w:lang w:eastAsia="ru-RU"/>
              </w:rPr>
              <w:t>защиты прав потребителей</w:t>
            </w:r>
          </w:p>
        </w:tc>
        <w:tc>
          <w:tcPr>
            <w:tcW w:w="1559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МКУ МО пос. Стрельна «Стрельна»</w:t>
            </w:r>
          </w:p>
        </w:tc>
        <w:tc>
          <w:tcPr>
            <w:tcW w:w="1276" w:type="dxa"/>
          </w:tcPr>
          <w:p w:rsidR="00434E6C" w:rsidRPr="00A1417F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434E6C" w:rsidRPr="00CB76C2" w:rsidTr="00434E6C">
        <w:trPr>
          <w:trHeight w:val="418"/>
        </w:trPr>
        <w:tc>
          <w:tcPr>
            <w:tcW w:w="568" w:type="dxa"/>
          </w:tcPr>
          <w:p w:rsidR="00434E6C" w:rsidRDefault="00434E6C" w:rsidP="00434E6C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5103" w:type="dxa"/>
          </w:tcPr>
          <w:p w:rsidR="00434E6C" w:rsidRPr="005D0E16" w:rsidRDefault="00434E6C" w:rsidP="004812E0">
            <w:pPr>
              <w:tabs>
                <w:tab w:val="left" w:pos="2715"/>
              </w:tabs>
              <w:rPr>
                <w:spacing w:val="2"/>
                <w:szCs w:val="24"/>
                <w:shd w:val="clear" w:color="auto" w:fill="FFFFFF"/>
              </w:rPr>
            </w:pPr>
            <w:r>
              <w:rPr>
                <w:szCs w:val="24"/>
              </w:rPr>
              <w:t>Информирование населения Муниципального образования поселок Стрельна о проведении Прокуратурой Петродворцового района Санкт-Петербурга, Управлением Федеральной антимонопольной службы по Санкт-Петербургу и Ленинградской области «горячих линий» по вопросам защиты прав потребителей</w:t>
            </w:r>
          </w:p>
        </w:tc>
        <w:tc>
          <w:tcPr>
            <w:tcW w:w="1559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434E6C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МКУ МО пос. Стрельна «Стрельна»</w:t>
            </w:r>
          </w:p>
        </w:tc>
        <w:tc>
          <w:tcPr>
            <w:tcW w:w="1276" w:type="dxa"/>
          </w:tcPr>
          <w:p w:rsidR="00434E6C" w:rsidRPr="00A1417F" w:rsidRDefault="00434E6C" w:rsidP="004812E0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</w:tbl>
    <w:p w:rsidR="00434E6C" w:rsidRDefault="00434E6C" w:rsidP="00434E6C">
      <w:pPr>
        <w:spacing w:after="0"/>
        <w:jc w:val="center"/>
        <w:rPr>
          <w:b/>
          <w:szCs w:val="24"/>
        </w:rPr>
      </w:pPr>
    </w:p>
    <w:p w:rsidR="00434E6C" w:rsidRDefault="00434E6C" w:rsidP="00434E6C">
      <w:pPr>
        <w:spacing w:after="0"/>
        <w:rPr>
          <w:b/>
          <w:szCs w:val="24"/>
        </w:rPr>
      </w:pPr>
    </w:p>
    <w:p w:rsidR="00C05C30" w:rsidRPr="002E6712" w:rsidRDefault="00C05C30" w:rsidP="002E6712">
      <w:pPr>
        <w:rPr>
          <w:color w:val="000000"/>
          <w:szCs w:val="24"/>
        </w:rPr>
      </w:pPr>
    </w:p>
    <w:sectPr w:rsidR="00C05C30" w:rsidRPr="002E6712" w:rsidSect="002E671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7398"/>
    <w:multiLevelType w:val="hybridMultilevel"/>
    <w:tmpl w:val="F4C61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516D6"/>
    <w:multiLevelType w:val="hybridMultilevel"/>
    <w:tmpl w:val="4FA019EA"/>
    <w:lvl w:ilvl="0" w:tplc="8AE29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FB11C9"/>
    <w:multiLevelType w:val="multilevel"/>
    <w:tmpl w:val="4AE81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558F"/>
    <w:rsid w:val="0005199B"/>
    <w:rsid w:val="000728C2"/>
    <w:rsid w:val="00073268"/>
    <w:rsid w:val="00075BE2"/>
    <w:rsid w:val="00076EF7"/>
    <w:rsid w:val="0008347C"/>
    <w:rsid w:val="000A3762"/>
    <w:rsid w:val="000A71EE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83464"/>
    <w:rsid w:val="001839DC"/>
    <w:rsid w:val="001976AD"/>
    <w:rsid w:val="00197DB5"/>
    <w:rsid w:val="001B2766"/>
    <w:rsid w:val="001D17A5"/>
    <w:rsid w:val="001D5A0E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3578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C0B70"/>
    <w:rsid w:val="002C6AFF"/>
    <w:rsid w:val="002D2B76"/>
    <w:rsid w:val="002D4A59"/>
    <w:rsid w:val="002E6712"/>
    <w:rsid w:val="00305F38"/>
    <w:rsid w:val="00314153"/>
    <w:rsid w:val="00322FAF"/>
    <w:rsid w:val="00340693"/>
    <w:rsid w:val="00355358"/>
    <w:rsid w:val="003617FB"/>
    <w:rsid w:val="00366B10"/>
    <w:rsid w:val="00380ACC"/>
    <w:rsid w:val="00387B6F"/>
    <w:rsid w:val="00390D9A"/>
    <w:rsid w:val="00395191"/>
    <w:rsid w:val="003A5545"/>
    <w:rsid w:val="003A72B7"/>
    <w:rsid w:val="003A7FE2"/>
    <w:rsid w:val="003B23D6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34E6C"/>
    <w:rsid w:val="00445EC3"/>
    <w:rsid w:val="0045048D"/>
    <w:rsid w:val="004537AB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6A44"/>
    <w:rsid w:val="00526435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0EB2"/>
    <w:rsid w:val="005D3D7D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B080D"/>
    <w:rsid w:val="007B4775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50D13"/>
    <w:rsid w:val="008523E1"/>
    <w:rsid w:val="00871245"/>
    <w:rsid w:val="008817C3"/>
    <w:rsid w:val="00884AA3"/>
    <w:rsid w:val="00886138"/>
    <w:rsid w:val="00887946"/>
    <w:rsid w:val="008938A8"/>
    <w:rsid w:val="00896BED"/>
    <w:rsid w:val="00897274"/>
    <w:rsid w:val="008A2FF4"/>
    <w:rsid w:val="008A57F5"/>
    <w:rsid w:val="008B012C"/>
    <w:rsid w:val="008C41DA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3B93"/>
    <w:rsid w:val="00A3557F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571A8"/>
    <w:rsid w:val="00B606E6"/>
    <w:rsid w:val="00B64AD4"/>
    <w:rsid w:val="00B71116"/>
    <w:rsid w:val="00B74EA8"/>
    <w:rsid w:val="00B8258C"/>
    <w:rsid w:val="00B8743B"/>
    <w:rsid w:val="00B874A2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3CC3"/>
    <w:rsid w:val="00C2639C"/>
    <w:rsid w:val="00C31555"/>
    <w:rsid w:val="00C3225D"/>
    <w:rsid w:val="00C372AE"/>
    <w:rsid w:val="00C52BD1"/>
    <w:rsid w:val="00C5643B"/>
    <w:rsid w:val="00C572D3"/>
    <w:rsid w:val="00C60087"/>
    <w:rsid w:val="00C64E7E"/>
    <w:rsid w:val="00C70A73"/>
    <w:rsid w:val="00C73457"/>
    <w:rsid w:val="00C74E9E"/>
    <w:rsid w:val="00C82375"/>
    <w:rsid w:val="00C85090"/>
    <w:rsid w:val="00C852A4"/>
    <w:rsid w:val="00C86CF0"/>
    <w:rsid w:val="00CA6617"/>
    <w:rsid w:val="00CA7BC7"/>
    <w:rsid w:val="00CB10D5"/>
    <w:rsid w:val="00CB7133"/>
    <w:rsid w:val="00CD5018"/>
    <w:rsid w:val="00CE3BB4"/>
    <w:rsid w:val="00CE6902"/>
    <w:rsid w:val="00D053E0"/>
    <w:rsid w:val="00D175FB"/>
    <w:rsid w:val="00D31BCD"/>
    <w:rsid w:val="00D34FC9"/>
    <w:rsid w:val="00D42100"/>
    <w:rsid w:val="00D42826"/>
    <w:rsid w:val="00D5072E"/>
    <w:rsid w:val="00D523C5"/>
    <w:rsid w:val="00D56185"/>
    <w:rsid w:val="00D65696"/>
    <w:rsid w:val="00D70DFD"/>
    <w:rsid w:val="00D72142"/>
    <w:rsid w:val="00D72470"/>
    <w:rsid w:val="00D761C9"/>
    <w:rsid w:val="00D90E5A"/>
    <w:rsid w:val="00D96837"/>
    <w:rsid w:val="00DB5372"/>
    <w:rsid w:val="00DB70A6"/>
    <w:rsid w:val="00DC17FB"/>
    <w:rsid w:val="00DC1F4A"/>
    <w:rsid w:val="00DD2071"/>
    <w:rsid w:val="00DD52E8"/>
    <w:rsid w:val="00DE7CDB"/>
    <w:rsid w:val="00DF3220"/>
    <w:rsid w:val="00DF4720"/>
    <w:rsid w:val="00E074FD"/>
    <w:rsid w:val="00E10137"/>
    <w:rsid w:val="00E2447B"/>
    <w:rsid w:val="00E2492C"/>
    <w:rsid w:val="00E43C0B"/>
    <w:rsid w:val="00E4420C"/>
    <w:rsid w:val="00E54E5A"/>
    <w:rsid w:val="00E66216"/>
    <w:rsid w:val="00E7242F"/>
    <w:rsid w:val="00E72BBA"/>
    <w:rsid w:val="00E758DE"/>
    <w:rsid w:val="00E83F60"/>
    <w:rsid w:val="00EA6558"/>
    <w:rsid w:val="00EA79C4"/>
    <w:rsid w:val="00EB06CA"/>
    <w:rsid w:val="00EB1D2F"/>
    <w:rsid w:val="00EC68C4"/>
    <w:rsid w:val="00EC6BF0"/>
    <w:rsid w:val="00ED3FC8"/>
    <w:rsid w:val="00EF39D2"/>
    <w:rsid w:val="00EF43C2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C9D"/>
    <w:rsid w:val="00FA3E8E"/>
    <w:rsid w:val="00FA4B05"/>
    <w:rsid w:val="00FA72CC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434E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Абзац списка Знак"/>
    <w:link w:val="a7"/>
    <w:uiPriority w:val="34"/>
    <w:locked/>
    <w:rsid w:val="00434E6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strel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8C005-1001-4910-9C7C-875E6551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2017-04-04T07:52:00Z</cp:lastPrinted>
  <dcterms:created xsi:type="dcterms:W3CDTF">2019-01-22T11:13:00Z</dcterms:created>
  <dcterms:modified xsi:type="dcterms:W3CDTF">2019-01-22T11:13:00Z</dcterms:modified>
</cp:coreProperties>
</file>